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149F" w14:textId="44AB2D80" w:rsidR="00315276" w:rsidRPr="0076642E" w:rsidRDefault="00977942">
      <w:pPr>
        <w:rPr>
          <w:color w:val="FF0000"/>
        </w:rPr>
      </w:pPr>
      <w:r w:rsidRPr="0076642E">
        <w:rPr>
          <w:noProof/>
          <w:color w:val="FF0000"/>
        </w:rPr>
        <w:drawing>
          <wp:inline distT="0" distB="0" distL="0" distR="0" wp14:anchorId="31BCA548" wp14:editId="17AE327C">
            <wp:extent cx="2533650" cy="78569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555" cy="803652"/>
                    </a:xfrm>
                    <a:prstGeom prst="rect">
                      <a:avLst/>
                    </a:prstGeom>
                    <a:noFill/>
                    <a:ln>
                      <a:noFill/>
                    </a:ln>
                  </pic:spPr>
                </pic:pic>
              </a:graphicData>
            </a:graphic>
          </wp:inline>
        </w:drawing>
      </w:r>
    </w:p>
    <w:p w14:paraId="75FD6DA0" w14:textId="75E2B199" w:rsidR="00977942" w:rsidRPr="006C075C" w:rsidRDefault="00977942" w:rsidP="006C075C">
      <w:pPr>
        <w:pStyle w:val="Title"/>
      </w:pPr>
      <w:r w:rsidRPr="006C075C">
        <w:t xml:space="preserve">Public Sector Equality Duty – Mainstreaming Report </w:t>
      </w:r>
      <w:r w:rsidR="009F0EEC" w:rsidRPr="006C075C">
        <w:t>20</w:t>
      </w:r>
      <w:r w:rsidR="009F430D" w:rsidRPr="006C075C">
        <w:t>21-23</w:t>
      </w:r>
    </w:p>
    <w:p w14:paraId="50AEBEA3" w14:textId="712B2652" w:rsidR="00977942" w:rsidRPr="006C075C" w:rsidRDefault="00393AB5" w:rsidP="006C075C">
      <w:pPr>
        <w:pStyle w:val="Heading1"/>
      </w:pPr>
      <w:r w:rsidRPr="006C075C">
        <w:t xml:space="preserve">1. </w:t>
      </w:r>
      <w:r w:rsidR="00C705EC" w:rsidRPr="006C075C">
        <w:t>Introduction</w:t>
      </w:r>
    </w:p>
    <w:p w14:paraId="03C5F865" w14:textId="64F4AB94" w:rsidR="00C705EC" w:rsidRPr="00082F39" w:rsidRDefault="00393AB5" w:rsidP="00393AB5">
      <w:pPr>
        <w:rPr>
          <w:rFonts w:cstheme="minorHAnsi"/>
          <w:sz w:val="24"/>
          <w:szCs w:val="24"/>
        </w:rPr>
      </w:pPr>
      <w:r w:rsidRPr="00082F39">
        <w:rPr>
          <w:rFonts w:cstheme="minorHAnsi"/>
          <w:sz w:val="24"/>
          <w:szCs w:val="24"/>
        </w:rPr>
        <w:t>The University of Glasgow aims to build an inclusive community. In this report the University showcases some of our exemplary practice in relation to mainstreaming equality throughout our functions.</w:t>
      </w:r>
    </w:p>
    <w:p w14:paraId="3C1CDD90" w14:textId="4DBB1202" w:rsidR="00C705EC" w:rsidRPr="00082F39" w:rsidRDefault="00393AB5" w:rsidP="006C075C">
      <w:pPr>
        <w:pStyle w:val="Heading1"/>
      </w:pPr>
      <w:r w:rsidRPr="00082F39">
        <w:t xml:space="preserve">2. </w:t>
      </w:r>
      <w:r w:rsidR="00C705EC" w:rsidRPr="00082F39">
        <w:t>Strategic importance of equality</w:t>
      </w:r>
    </w:p>
    <w:p w14:paraId="46A54831" w14:textId="11EE46BB" w:rsidR="00214B08" w:rsidRPr="00082F39" w:rsidRDefault="00214B08" w:rsidP="00763441">
      <w:pPr>
        <w:rPr>
          <w:rFonts w:cstheme="minorHAnsi"/>
          <w:sz w:val="24"/>
          <w:szCs w:val="24"/>
        </w:rPr>
      </w:pPr>
      <w:r w:rsidRPr="00082F39">
        <w:rPr>
          <w:rFonts w:cstheme="minorHAnsi"/>
          <w:sz w:val="24"/>
          <w:szCs w:val="24"/>
        </w:rPr>
        <w:t xml:space="preserve">The University of Glasgow’s </w:t>
      </w:r>
      <w:r w:rsidR="006024CB" w:rsidRPr="00082F39">
        <w:rPr>
          <w:sz w:val="24"/>
          <w:szCs w:val="24"/>
        </w:rPr>
        <w:t>World Changers Together</w:t>
      </w:r>
      <w:r w:rsidR="002E5D64" w:rsidRPr="00082F39">
        <w:rPr>
          <w:rStyle w:val="FootnoteReference"/>
          <w:sz w:val="24"/>
          <w:szCs w:val="24"/>
        </w:rPr>
        <w:footnoteReference w:id="2"/>
      </w:r>
      <w:r w:rsidR="007D7889" w:rsidRPr="00082F39">
        <w:rPr>
          <w:sz w:val="24"/>
          <w:szCs w:val="24"/>
        </w:rPr>
        <w:t xml:space="preserve"> </w:t>
      </w:r>
      <w:r w:rsidRPr="00082F39">
        <w:rPr>
          <w:rFonts w:cstheme="minorHAnsi"/>
          <w:sz w:val="24"/>
          <w:szCs w:val="24"/>
        </w:rPr>
        <w:t>strategy set</w:t>
      </w:r>
      <w:r w:rsidR="007906B6">
        <w:rPr>
          <w:rFonts w:cstheme="minorHAnsi"/>
          <w:sz w:val="24"/>
          <w:szCs w:val="24"/>
        </w:rPr>
        <w:t>s</w:t>
      </w:r>
      <w:r w:rsidR="00FE3D94" w:rsidRPr="00082F39">
        <w:rPr>
          <w:rFonts w:cstheme="minorHAnsi"/>
          <w:sz w:val="24"/>
          <w:szCs w:val="24"/>
        </w:rPr>
        <w:t xml:space="preserve"> </w:t>
      </w:r>
      <w:r w:rsidRPr="00082F39">
        <w:rPr>
          <w:rFonts w:cstheme="minorHAnsi"/>
          <w:sz w:val="24"/>
          <w:szCs w:val="24"/>
        </w:rPr>
        <w:t xml:space="preserve">out our vision, </w:t>
      </w:r>
      <w:r w:rsidR="00001996" w:rsidRPr="00082F39">
        <w:rPr>
          <w:rFonts w:cstheme="minorHAnsi"/>
          <w:i/>
          <w:sz w:val="24"/>
          <w:szCs w:val="24"/>
        </w:rPr>
        <w:t>t</w:t>
      </w:r>
      <w:r w:rsidRPr="00082F39">
        <w:rPr>
          <w:rFonts w:cstheme="minorHAnsi"/>
          <w:i/>
          <w:sz w:val="24"/>
          <w:szCs w:val="24"/>
        </w:rPr>
        <w:t>o be a</w:t>
      </w:r>
      <w:r w:rsidR="00FF50EA" w:rsidRPr="00082F39">
        <w:rPr>
          <w:rFonts w:cstheme="minorHAnsi"/>
          <w:i/>
          <w:sz w:val="24"/>
          <w:szCs w:val="24"/>
        </w:rPr>
        <w:t xml:space="preserve"> </w:t>
      </w:r>
      <w:r w:rsidRPr="00082F39">
        <w:rPr>
          <w:rFonts w:cstheme="minorHAnsi"/>
          <w:i/>
          <w:sz w:val="24"/>
          <w:szCs w:val="24"/>
        </w:rPr>
        <w:t xml:space="preserve">world-changing university. </w:t>
      </w:r>
      <w:r w:rsidRPr="00082F39">
        <w:rPr>
          <w:rFonts w:cstheme="minorHAnsi"/>
          <w:sz w:val="24"/>
          <w:szCs w:val="24"/>
        </w:rPr>
        <w:t xml:space="preserve">The foundations for the strategy </w:t>
      </w:r>
      <w:r w:rsidR="007C5A42">
        <w:rPr>
          <w:rFonts w:cstheme="minorHAnsi"/>
          <w:sz w:val="24"/>
          <w:szCs w:val="24"/>
        </w:rPr>
        <w:t>are</w:t>
      </w:r>
      <w:r w:rsidR="00D63D74" w:rsidRPr="00082F39">
        <w:rPr>
          <w:rFonts w:cstheme="minorHAnsi"/>
          <w:sz w:val="24"/>
          <w:szCs w:val="24"/>
        </w:rPr>
        <w:t xml:space="preserve"> </w:t>
      </w:r>
      <w:r w:rsidRPr="00082F39">
        <w:rPr>
          <w:rFonts w:cstheme="minorHAnsi"/>
          <w:sz w:val="24"/>
          <w:szCs w:val="24"/>
        </w:rPr>
        <w:t xml:space="preserve">three </w:t>
      </w:r>
      <w:r w:rsidR="0001103D" w:rsidRPr="00082F39">
        <w:rPr>
          <w:rFonts w:cstheme="minorHAnsi"/>
          <w:sz w:val="24"/>
          <w:szCs w:val="24"/>
        </w:rPr>
        <w:t xml:space="preserve">themes </w:t>
      </w:r>
      <w:r w:rsidR="006E6A59">
        <w:rPr>
          <w:rFonts w:cstheme="minorHAnsi"/>
          <w:sz w:val="24"/>
          <w:szCs w:val="24"/>
        </w:rPr>
        <w:t xml:space="preserve">- </w:t>
      </w:r>
      <w:r w:rsidR="00763441" w:rsidRPr="00082F39">
        <w:rPr>
          <w:rFonts w:cstheme="minorHAnsi"/>
          <w:sz w:val="24"/>
          <w:szCs w:val="24"/>
        </w:rPr>
        <w:t>Community, Connectivity and Challenges.</w:t>
      </w:r>
      <w:r w:rsidR="00FE3D94" w:rsidRPr="00082F39">
        <w:rPr>
          <w:rFonts w:cstheme="minorHAnsi"/>
          <w:sz w:val="24"/>
          <w:szCs w:val="24"/>
        </w:rPr>
        <w:t xml:space="preserve"> </w:t>
      </w:r>
    </w:p>
    <w:p w14:paraId="717FE921" w14:textId="1446F1C9" w:rsidR="006B0F36" w:rsidRPr="00082F39" w:rsidRDefault="00D63D74" w:rsidP="006B0F36">
      <w:pPr>
        <w:rPr>
          <w:sz w:val="24"/>
          <w:szCs w:val="24"/>
        </w:rPr>
      </w:pPr>
      <w:r w:rsidRPr="00082F39">
        <w:rPr>
          <w:rFonts w:cstheme="minorHAnsi"/>
          <w:sz w:val="24"/>
          <w:szCs w:val="24"/>
        </w:rPr>
        <w:t>S</w:t>
      </w:r>
      <w:r w:rsidR="00214B08" w:rsidRPr="00082F39">
        <w:rPr>
          <w:rFonts w:cstheme="minorHAnsi"/>
          <w:sz w:val="24"/>
          <w:szCs w:val="24"/>
        </w:rPr>
        <w:t>ince 2018 the University ha</w:t>
      </w:r>
      <w:r w:rsidR="00A6150D">
        <w:rPr>
          <w:rFonts w:cstheme="minorHAnsi"/>
          <w:sz w:val="24"/>
          <w:szCs w:val="24"/>
        </w:rPr>
        <w:t>d</w:t>
      </w:r>
      <w:r w:rsidR="00214B08" w:rsidRPr="00082F39">
        <w:rPr>
          <w:rFonts w:cstheme="minorHAnsi"/>
          <w:sz w:val="24"/>
          <w:szCs w:val="24"/>
        </w:rPr>
        <w:t xml:space="preserve"> been consulting widely on our next </w:t>
      </w:r>
      <w:r w:rsidR="007F7FB9" w:rsidRPr="00082F39">
        <w:rPr>
          <w:rFonts w:cstheme="minorHAnsi"/>
          <w:sz w:val="24"/>
          <w:szCs w:val="24"/>
        </w:rPr>
        <w:t xml:space="preserve">University </w:t>
      </w:r>
      <w:r w:rsidR="00214B08" w:rsidRPr="00082F39">
        <w:rPr>
          <w:rFonts w:cstheme="minorHAnsi"/>
          <w:sz w:val="24"/>
          <w:szCs w:val="24"/>
        </w:rPr>
        <w:t>strategy</w:t>
      </w:r>
      <w:r w:rsidR="00FE3D94" w:rsidRPr="00082F39">
        <w:rPr>
          <w:rFonts w:cstheme="minorHAnsi"/>
          <w:sz w:val="24"/>
          <w:szCs w:val="24"/>
        </w:rPr>
        <w:t xml:space="preserve"> </w:t>
      </w:r>
      <w:r w:rsidRPr="00082F39">
        <w:rPr>
          <w:rFonts w:cstheme="minorHAnsi"/>
          <w:sz w:val="24"/>
          <w:szCs w:val="24"/>
        </w:rPr>
        <w:t>for</w:t>
      </w:r>
      <w:r w:rsidR="00214B08" w:rsidRPr="00082F39">
        <w:rPr>
          <w:rFonts w:cstheme="minorHAnsi"/>
          <w:sz w:val="24"/>
          <w:szCs w:val="24"/>
        </w:rPr>
        <w:t xml:space="preserve"> 2020-25. </w:t>
      </w:r>
      <w:r w:rsidR="002E5D64" w:rsidRPr="00082F39">
        <w:rPr>
          <w:rFonts w:cstheme="minorHAnsi"/>
          <w:sz w:val="24"/>
          <w:szCs w:val="24"/>
        </w:rPr>
        <w:t>Publishing the strategy was delayed until 2021, due to the impact of the global pandemic.</w:t>
      </w:r>
      <w:r w:rsidR="006B0F36" w:rsidRPr="00082F39">
        <w:rPr>
          <w:rFonts w:cstheme="minorHAnsi"/>
          <w:sz w:val="24"/>
          <w:szCs w:val="24"/>
        </w:rPr>
        <w:t xml:space="preserve"> </w:t>
      </w:r>
      <w:r w:rsidR="006B0F36" w:rsidRPr="00082F39">
        <w:rPr>
          <w:sz w:val="24"/>
          <w:szCs w:val="24"/>
        </w:rPr>
        <w:t>There are a range of strategies which sit beneath the University’s</w:t>
      </w:r>
      <w:r w:rsidR="003A23FC">
        <w:rPr>
          <w:sz w:val="24"/>
          <w:szCs w:val="24"/>
        </w:rPr>
        <w:t>,</w:t>
      </w:r>
      <w:r w:rsidR="006B0F36" w:rsidRPr="00082F39">
        <w:rPr>
          <w:sz w:val="24"/>
          <w:szCs w:val="24"/>
        </w:rPr>
        <w:t xml:space="preserve"> these include Research, </w:t>
      </w:r>
      <w:r w:rsidR="0006292D">
        <w:rPr>
          <w:sz w:val="24"/>
          <w:szCs w:val="24"/>
        </w:rPr>
        <w:t>L</w:t>
      </w:r>
      <w:r w:rsidR="006B0F36" w:rsidRPr="00082F39">
        <w:rPr>
          <w:sz w:val="24"/>
          <w:szCs w:val="24"/>
        </w:rPr>
        <w:t xml:space="preserve">earning and Teaching, Estates, People and Organisational Development </w:t>
      </w:r>
      <w:r w:rsidR="00D70105">
        <w:rPr>
          <w:sz w:val="24"/>
          <w:szCs w:val="24"/>
        </w:rPr>
        <w:t xml:space="preserve">(POD) </w:t>
      </w:r>
      <w:r w:rsidR="006B0F36" w:rsidRPr="00082F39">
        <w:rPr>
          <w:sz w:val="24"/>
          <w:szCs w:val="24"/>
        </w:rPr>
        <w:t>and</w:t>
      </w:r>
      <w:r w:rsidR="00A6150D">
        <w:rPr>
          <w:sz w:val="24"/>
          <w:szCs w:val="24"/>
        </w:rPr>
        <w:t>,</w:t>
      </w:r>
      <w:r w:rsidR="006B0F36" w:rsidRPr="00082F39">
        <w:rPr>
          <w:sz w:val="24"/>
          <w:szCs w:val="24"/>
        </w:rPr>
        <w:t xml:space="preserve"> in current development</w:t>
      </w:r>
      <w:r w:rsidR="00A6150D">
        <w:rPr>
          <w:sz w:val="24"/>
          <w:szCs w:val="24"/>
        </w:rPr>
        <w:t>,</w:t>
      </w:r>
      <w:r w:rsidR="006B0F36" w:rsidRPr="00082F39">
        <w:rPr>
          <w:sz w:val="24"/>
          <w:szCs w:val="24"/>
        </w:rPr>
        <w:t xml:space="preserve"> the Student Experience Strategy.</w:t>
      </w:r>
    </w:p>
    <w:p w14:paraId="5713703B" w14:textId="3B428F04" w:rsidR="00214B08" w:rsidRPr="00082F39" w:rsidRDefault="00214B08" w:rsidP="00214B08">
      <w:pPr>
        <w:rPr>
          <w:rFonts w:cstheme="minorHAnsi"/>
          <w:sz w:val="24"/>
          <w:szCs w:val="24"/>
        </w:rPr>
      </w:pPr>
      <w:r w:rsidRPr="00082F39">
        <w:rPr>
          <w:sz w:val="24"/>
          <w:szCs w:val="24"/>
        </w:rPr>
        <w:t xml:space="preserve">At the heart of the overall strategy are the University’s values. These </w:t>
      </w:r>
      <w:r w:rsidR="00BF72D9" w:rsidRPr="00082F39">
        <w:rPr>
          <w:sz w:val="24"/>
          <w:szCs w:val="24"/>
        </w:rPr>
        <w:t>are</w:t>
      </w:r>
      <w:r w:rsidRPr="00082F39">
        <w:rPr>
          <w:sz w:val="24"/>
          <w:szCs w:val="24"/>
        </w:rPr>
        <w:t xml:space="preserve"> ambition and excellence, curiosity and discovery, integrity and truth and an inclusive community. The value of inclusive community is defined as:</w:t>
      </w:r>
    </w:p>
    <w:p w14:paraId="1FC57E0C" w14:textId="104F6075" w:rsidR="00214B08" w:rsidRPr="00082F39" w:rsidRDefault="00214B08" w:rsidP="00214B08">
      <w:pPr>
        <w:pStyle w:val="ListParagraph"/>
        <w:numPr>
          <w:ilvl w:val="0"/>
          <w:numId w:val="13"/>
        </w:numPr>
        <w:rPr>
          <w:sz w:val="24"/>
          <w:szCs w:val="24"/>
        </w:rPr>
      </w:pPr>
      <w:r w:rsidRPr="00082F39">
        <w:rPr>
          <w:sz w:val="24"/>
          <w:szCs w:val="24"/>
        </w:rPr>
        <w:t xml:space="preserve">We are one Glasgow team, and we care for and respect </w:t>
      </w:r>
      <w:r w:rsidR="00154164" w:rsidRPr="00082F39">
        <w:rPr>
          <w:sz w:val="24"/>
          <w:szCs w:val="24"/>
        </w:rPr>
        <w:t>one another.</w:t>
      </w:r>
    </w:p>
    <w:p w14:paraId="76815A70" w14:textId="1AB0BDDE" w:rsidR="00214B08" w:rsidRPr="00082F39" w:rsidRDefault="00214B08" w:rsidP="00214B08">
      <w:pPr>
        <w:pStyle w:val="ListParagraph"/>
        <w:numPr>
          <w:ilvl w:val="0"/>
          <w:numId w:val="13"/>
        </w:numPr>
        <w:rPr>
          <w:sz w:val="24"/>
          <w:szCs w:val="24"/>
        </w:rPr>
      </w:pPr>
      <w:r w:rsidRPr="00082F39">
        <w:rPr>
          <w:sz w:val="24"/>
          <w:szCs w:val="24"/>
        </w:rPr>
        <w:t xml:space="preserve">We advocate for diversity and believe in variety as a vital part of a healthy </w:t>
      </w:r>
      <w:r w:rsidR="00154164" w:rsidRPr="00082F39">
        <w:rPr>
          <w:sz w:val="24"/>
          <w:szCs w:val="24"/>
        </w:rPr>
        <w:t>university.</w:t>
      </w:r>
    </w:p>
    <w:p w14:paraId="5B7770D9" w14:textId="0970B968" w:rsidR="00214B08" w:rsidRPr="00082F39" w:rsidRDefault="00214B08" w:rsidP="00214B08">
      <w:pPr>
        <w:pStyle w:val="ListParagraph"/>
        <w:numPr>
          <w:ilvl w:val="0"/>
          <w:numId w:val="13"/>
        </w:numPr>
        <w:rPr>
          <w:sz w:val="24"/>
          <w:szCs w:val="24"/>
        </w:rPr>
      </w:pPr>
      <w:r w:rsidRPr="00082F39">
        <w:rPr>
          <w:sz w:val="24"/>
          <w:szCs w:val="24"/>
        </w:rPr>
        <w:t>We champion education as an engine for social progress</w:t>
      </w:r>
      <w:r w:rsidR="00154164">
        <w:rPr>
          <w:sz w:val="24"/>
          <w:szCs w:val="24"/>
        </w:rPr>
        <w:t>.</w:t>
      </w:r>
    </w:p>
    <w:p w14:paraId="10311FE8" w14:textId="4E35B393" w:rsidR="00214B08" w:rsidRPr="00082F39" w:rsidRDefault="00214B08" w:rsidP="00214B08">
      <w:pPr>
        <w:pStyle w:val="ListParagraph"/>
        <w:numPr>
          <w:ilvl w:val="0"/>
          <w:numId w:val="13"/>
        </w:numPr>
        <w:rPr>
          <w:sz w:val="24"/>
          <w:szCs w:val="24"/>
        </w:rPr>
      </w:pPr>
      <w:r w:rsidRPr="00082F39">
        <w:rPr>
          <w:sz w:val="24"/>
          <w:szCs w:val="24"/>
        </w:rPr>
        <w:t>We practise and advance sustainability</w:t>
      </w:r>
      <w:r w:rsidR="00154164">
        <w:rPr>
          <w:sz w:val="24"/>
          <w:szCs w:val="24"/>
        </w:rPr>
        <w:t>.</w:t>
      </w:r>
    </w:p>
    <w:p w14:paraId="47A1D069" w14:textId="40F904A6" w:rsidR="00214B08" w:rsidRPr="001045DE" w:rsidRDefault="00214B08" w:rsidP="00214B08">
      <w:pPr>
        <w:rPr>
          <w:sz w:val="24"/>
          <w:szCs w:val="24"/>
        </w:rPr>
      </w:pPr>
      <w:r w:rsidRPr="00082F39">
        <w:rPr>
          <w:sz w:val="24"/>
          <w:szCs w:val="24"/>
        </w:rPr>
        <w:t xml:space="preserve">The articulation of inclusive community is echoed throughout the themed university strategies – with POD strategic themes of living our values, maximising organisational capacity and employee experience; the Learning and Teaching </w:t>
      </w:r>
      <w:r w:rsidR="00C15B84" w:rsidRPr="00082F39">
        <w:rPr>
          <w:sz w:val="24"/>
          <w:szCs w:val="24"/>
        </w:rPr>
        <w:t>S</w:t>
      </w:r>
      <w:r w:rsidRPr="00082F39">
        <w:rPr>
          <w:sz w:val="24"/>
          <w:szCs w:val="24"/>
        </w:rPr>
        <w:t>trategy focusing on accessibility (in the widest sense), widening participation and decolonising the curriculum;</w:t>
      </w:r>
      <w:r w:rsidR="00943CD9" w:rsidRPr="00082F39">
        <w:rPr>
          <w:sz w:val="24"/>
          <w:szCs w:val="24"/>
        </w:rPr>
        <w:t xml:space="preserve"> </w:t>
      </w:r>
      <w:r w:rsidRPr="00082F39">
        <w:rPr>
          <w:sz w:val="24"/>
          <w:szCs w:val="24"/>
        </w:rPr>
        <w:t xml:space="preserve">the Research </w:t>
      </w:r>
      <w:r w:rsidR="00C15B84" w:rsidRPr="00082F39">
        <w:rPr>
          <w:sz w:val="24"/>
          <w:szCs w:val="24"/>
        </w:rPr>
        <w:t>S</w:t>
      </w:r>
      <w:r w:rsidRPr="00082F39">
        <w:rPr>
          <w:sz w:val="24"/>
          <w:szCs w:val="24"/>
        </w:rPr>
        <w:t>trategy supporting three priorities of collaboration, creativity and careers</w:t>
      </w:r>
      <w:r w:rsidR="00943CD9" w:rsidRPr="00082F39">
        <w:rPr>
          <w:sz w:val="24"/>
          <w:szCs w:val="24"/>
        </w:rPr>
        <w:t xml:space="preserve">; </w:t>
      </w:r>
      <w:r w:rsidR="00943CD9" w:rsidRPr="001045DE">
        <w:rPr>
          <w:sz w:val="24"/>
          <w:szCs w:val="24"/>
        </w:rPr>
        <w:t xml:space="preserve">and the Student Experience Strategy has a pillar </w:t>
      </w:r>
      <w:r w:rsidR="00082F39" w:rsidRPr="001045DE">
        <w:rPr>
          <w:sz w:val="24"/>
          <w:szCs w:val="24"/>
        </w:rPr>
        <w:t xml:space="preserve">entitled </w:t>
      </w:r>
      <w:r w:rsidR="00823AE2">
        <w:rPr>
          <w:sz w:val="24"/>
          <w:szCs w:val="24"/>
        </w:rPr>
        <w:t>i</w:t>
      </w:r>
      <w:r w:rsidR="00082F39" w:rsidRPr="001045DE">
        <w:rPr>
          <w:sz w:val="24"/>
          <w:szCs w:val="24"/>
        </w:rPr>
        <w:t xml:space="preserve">nclusion and </w:t>
      </w:r>
      <w:r w:rsidR="00823AE2">
        <w:rPr>
          <w:sz w:val="24"/>
          <w:szCs w:val="24"/>
        </w:rPr>
        <w:t>b</w:t>
      </w:r>
      <w:r w:rsidR="00082F39" w:rsidRPr="001045DE">
        <w:rPr>
          <w:sz w:val="24"/>
          <w:szCs w:val="24"/>
        </w:rPr>
        <w:t>elonging</w:t>
      </w:r>
      <w:r w:rsidRPr="001045DE">
        <w:rPr>
          <w:sz w:val="24"/>
          <w:szCs w:val="24"/>
        </w:rPr>
        <w:t xml:space="preserve">. </w:t>
      </w:r>
    </w:p>
    <w:p w14:paraId="556E23A6" w14:textId="32CAEA34" w:rsidR="00C705EC" w:rsidRPr="001045DE" w:rsidRDefault="00393AB5" w:rsidP="006C075C">
      <w:pPr>
        <w:pStyle w:val="Heading1"/>
      </w:pPr>
      <w:r w:rsidRPr="001045DE">
        <w:t xml:space="preserve">3. </w:t>
      </w:r>
      <w:r w:rsidR="00C705EC" w:rsidRPr="001045DE">
        <w:t>Equality structures</w:t>
      </w:r>
    </w:p>
    <w:p w14:paraId="0A749727" w14:textId="54D34694" w:rsidR="00823352" w:rsidRPr="001045DE" w:rsidRDefault="00823352" w:rsidP="00823352">
      <w:pPr>
        <w:rPr>
          <w:rFonts w:cstheme="minorHAnsi"/>
          <w:sz w:val="24"/>
          <w:szCs w:val="24"/>
        </w:rPr>
      </w:pPr>
      <w:r w:rsidRPr="001045DE">
        <w:rPr>
          <w:rFonts w:cstheme="minorHAnsi"/>
          <w:sz w:val="24"/>
          <w:szCs w:val="24"/>
        </w:rPr>
        <w:t xml:space="preserve">The equality structure at the University ensures the responsibility for equality matters lie with the Senior Management Group (SMG). Structured through Equality Champions, where members of the SMG take responsibility for one or more protected characteristic, with the </w:t>
      </w:r>
      <w:r w:rsidRPr="001045DE">
        <w:rPr>
          <w:rFonts w:cstheme="minorHAnsi"/>
          <w:sz w:val="24"/>
          <w:szCs w:val="24"/>
        </w:rPr>
        <w:lastRenderedPageBreak/>
        <w:t xml:space="preserve">University’s Principal acting as overall Equality Champion. Details of the Equality Champions </w:t>
      </w:r>
      <w:hyperlink r:id="rId9" w:history="1">
        <w:r w:rsidRPr="00124429">
          <w:rPr>
            <w:rStyle w:val="Hyperlink"/>
            <w:rFonts w:cstheme="minorHAnsi"/>
            <w:color w:val="0070C0"/>
            <w:sz w:val="24"/>
            <w:szCs w:val="24"/>
          </w:rPr>
          <w:t>can be found on our website.</w:t>
        </w:r>
      </w:hyperlink>
      <w:r w:rsidRPr="001045DE">
        <w:rPr>
          <w:rFonts w:cstheme="minorHAnsi"/>
          <w:sz w:val="24"/>
          <w:szCs w:val="24"/>
        </w:rPr>
        <w:t xml:space="preserve"> </w:t>
      </w:r>
    </w:p>
    <w:p w14:paraId="40720310" w14:textId="69FF6E47" w:rsidR="00876A20" w:rsidRPr="001045DE" w:rsidRDefault="00876A20" w:rsidP="00876A20">
      <w:pPr>
        <w:rPr>
          <w:rFonts w:cstheme="minorHAnsi"/>
          <w:sz w:val="24"/>
          <w:szCs w:val="24"/>
        </w:rPr>
      </w:pPr>
      <w:r w:rsidRPr="001045DE">
        <w:rPr>
          <w:rFonts w:cstheme="minorHAnsi"/>
          <w:sz w:val="24"/>
          <w:szCs w:val="24"/>
        </w:rPr>
        <w:t xml:space="preserve">The Equality and Diversity Strategy Committee (EDSC) manages all equality strategy and legal </w:t>
      </w:r>
      <w:r w:rsidR="00131EAB" w:rsidRPr="001045DE">
        <w:rPr>
          <w:rFonts w:cstheme="minorHAnsi"/>
          <w:sz w:val="24"/>
          <w:szCs w:val="24"/>
        </w:rPr>
        <w:t>responsibilities</w:t>
      </w:r>
      <w:r w:rsidR="00C15B84" w:rsidRPr="001045DE">
        <w:rPr>
          <w:rFonts w:cstheme="minorHAnsi"/>
          <w:sz w:val="24"/>
          <w:szCs w:val="24"/>
        </w:rPr>
        <w:t xml:space="preserve"> </w:t>
      </w:r>
      <w:r w:rsidRPr="001045DE">
        <w:rPr>
          <w:rFonts w:cstheme="minorHAnsi"/>
          <w:sz w:val="24"/>
          <w:szCs w:val="24"/>
        </w:rPr>
        <w:t>for the University. The membership of EDSC includes all the Equality Champions, the Executive Director of People and Organisational Development, Executive Director of Student and Academic Services, the Students’ Representative Council (SRC), a Court member and Trade Union representation. The Chair is the Principal. EDSC reports to the University’s People and Organisational Development Committee for staffing matters and both the Education Policy and Strategy Committee and the Student Experience Committee for student matters. The Principal will take matters directly to Senior Management Group, if required.</w:t>
      </w:r>
    </w:p>
    <w:p w14:paraId="0C3DA8E4" w14:textId="386B8785" w:rsidR="00C25CCF" w:rsidRPr="001045DE" w:rsidRDefault="00C25CCF" w:rsidP="00C25CCF">
      <w:pPr>
        <w:rPr>
          <w:rFonts w:cstheme="minorHAnsi"/>
          <w:sz w:val="24"/>
          <w:szCs w:val="24"/>
        </w:rPr>
      </w:pPr>
      <w:r w:rsidRPr="001045DE">
        <w:rPr>
          <w:rFonts w:cstheme="minorHAnsi"/>
          <w:sz w:val="24"/>
          <w:szCs w:val="24"/>
        </w:rPr>
        <w:t xml:space="preserve">Each of the Equality Champions acts as a direct conduit for student and staff issues, and some host an equality group for </w:t>
      </w:r>
      <w:r w:rsidR="005F476A">
        <w:rPr>
          <w:rFonts w:cstheme="minorHAnsi"/>
          <w:sz w:val="24"/>
          <w:szCs w:val="24"/>
        </w:rPr>
        <w:t>individual/groups of</w:t>
      </w:r>
      <w:r w:rsidRPr="001045DE">
        <w:rPr>
          <w:rFonts w:cstheme="minorHAnsi"/>
          <w:sz w:val="24"/>
          <w:szCs w:val="24"/>
        </w:rPr>
        <w:t xml:space="preserve"> protected characteristic</w:t>
      </w:r>
      <w:r w:rsidR="005F476A">
        <w:rPr>
          <w:rFonts w:cstheme="minorHAnsi"/>
          <w:sz w:val="24"/>
          <w:szCs w:val="24"/>
        </w:rPr>
        <w:t>s</w:t>
      </w:r>
      <w:r w:rsidRPr="001045DE">
        <w:rPr>
          <w:rFonts w:cstheme="minorHAnsi"/>
          <w:sz w:val="24"/>
          <w:szCs w:val="24"/>
        </w:rPr>
        <w:t xml:space="preserve">. These equality groups have representation from </w:t>
      </w:r>
      <w:r w:rsidR="00C37034">
        <w:rPr>
          <w:rFonts w:cstheme="minorHAnsi"/>
          <w:sz w:val="24"/>
          <w:szCs w:val="24"/>
        </w:rPr>
        <w:t xml:space="preserve">identifying </w:t>
      </w:r>
      <w:r w:rsidR="00467A3B">
        <w:rPr>
          <w:rFonts w:cstheme="minorHAnsi"/>
          <w:sz w:val="24"/>
          <w:szCs w:val="24"/>
        </w:rPr>
        <w:t>colleagues</w:t>
      </w:r>
      <w:r w:rsidRPr="001045DE">
        <w:rPr>
          <w:rFonts w:cstheme="minorHAnsi"/>
          <w:sz w:val="24"/>
          <w:szCs w:val="24"/>
        </w:rPr>
        <w:t xml:space="preserve">, students, and relevant University Services, Colleges, </w:t>
      </w:r>
      <w:r w:rsidR="00D72417" w:rsidRPr="001045DE">
        <w:rPr>
          <w:rFonts w:cstheme="minorHAnsi"/>
          <w:sz w:val="24"/>
          <w:szCs w:val="24"/>
        </w:rPr>
        <w:t>academic</w:t>
      </w:r>
      <w:r w:rsidR="00D72417">
        <w:rPr>
          <w:rFonts w:cstheme="minorHAnsi"/>
          <w:sz w:val="24"/>
          <w:szCs w:val="24"/>
        </w:rPr>
        <w:t>s,</w:t>
      </w:r>
      <w:r w:rsidRPr="001045DE">
        <w:rPr>
          <w:rFonts w:cstheme="minorHAnsi"/>
          <w:sz w:val="24"/>
          <w:szCs w:val="24"/>
        </w:rPr>
        <w:t xml:space="preserve"> and those from appropriate job families. The Students’ Representative Council sit on all equality groups. In 20</w:t>
      </w:r>
      <w:r w:rsidR="00514864" w:rsidRPr="001045DE">
        <w:rPr>
          <w:rFonts w:cstheme="minorHAnsi"/>
          <w:sz w:val="24"/>
          <w:szCs w:val="24"/>
        </w:rPr>
        <w:t>22</w:t>
      </w:r>
      <w:r w:rsidRPr="001045DE">
        <w:rPr>
          <w:rFonts w:cstheme="minorHAnsi"/>
          <w:sz w:val="24"/>
          <w:szCs w:val="24"/>
        </w:rPr>
        <w:t xml:space="preserve">, </w:t>
      </w:r>
      <w:r w:rsidR="00514864" w:rsidRPr="001045DE">
        <w:rPr>
          <w:rFonts w:cstheme="minorHAnsi"/>
          <w:sz w:val="24"/>
          <w:szCs w:val="24"/>
        </w:rPr>
        <w:t xml:space="preserve">EDSC renamed the Refugees &amp; Asylum Seeker Champion the </w:t>
      </w:r>
      <w:r w:rsidR="0004558A" w:rsidRPr="001045DE">
        <w:rPr>
          <w:rFonts w:cstheme="minorHAnsi"/>
          <w:sz w:val="24"/>
          <w:szCs w:val="24"/>
        </w:rPr>
        <w:t>Sanctuary</w:t>
      </w:r>
      <w:r w:rsidR="00514864" w:rsidRPr="001045DE">
        <w:rPr>
          <w:rFonts w:cstheme="minorHAnsi"/>
          <w:sz w:val="24"/>
          <w:szCs w:val="24"/>
        </w:rPr>
        <w:t xml:space="preserve"> </w:t>
      </w:r>
      <w:r w:rsidR="0004558A" w:rsidRPr="001045DE">
        <w:rPr>
          <w:rFonts w:cstheme="minorHAnsi"/>
          <w:sz w:val="24"/>
          <w:szCs w:val="24"/>
        </w:rPr>
        <w:t>Champion</w:t>
      </w:r>
      <w:r w:rsidR="00514864" w:rsidRPr="001045DE">
        <w:rPr>
          <w:rFonts w:cstheme="minorHAnsi"/>
          <w:sz w:val="24"/>
          <w:szCs w:val="24"/>
        </w:rPr>
        <w:t xml:space="preserve"> to reflect the wider work the Champion was doing with the Gypsy, </w:t>
      </w:r>
      <w:r w:rsidR="0095719F" w:rsidRPr="001045DE">
        <w:rPr>
          <w:rFonts w:cstheme="minorHAnsi"/>
          <w:sz w:val="24"/>
          <w:szCs w:val="24"/>
        </w:rPr>
        <w:t>Roma,</w:t>
      </w:r>
      <w:r w:rsidR="0004558A" w:rsidRPr="001045DE">
        <w:rPr>
          <w:rFonts w:cstheme="minorHAnsi"/>
          <w:sz w:val="24"/>
          <w:szCs w:val="24"/>
        </w:rPr>
        <w:t xml:space="preserve"> and Traveller Community</w:t>
      </w:r>
      <w:r w:rsidRPr="001045DE">
        <w:rPr>
          <w:rFonts w:cstheme="minorHAnsi"/>
          <w:sz w:val="24"/>
          <w:szCs w:val="24"/>
        </w:rPr>
        <w:t>.</w:t>
      </w:r>
    </w:p>
    <w:p w14:paraId="5C1AC579" w14:textId="366977CF" w:rsidR="005D7AAC" w:rsidRPr="001045DE" w:rsidRDefault="005D7AAC" w:rsidP="005D7AAC">
      <w:pPr>
        <w:rPr>
          <w:rFonts w:cstheme="minorHAnsi"/>
          <w:sz w:val="24"/>
          <w:szCs w:val="24"/>
        </w:rPr>
      </w:pPr>
      <w:r w:rsidRPr="001045DE">
        <w:rPr>
          <w:rFonts w:cstheme="minorHAnsi"/>
          <w:sz w:val="24"/>
          <w:szCs w:val="24"/>
        </w:rPr>
        <w:t xml:space="preserve">The </w:t>
      </w:r>
      <w:r w:rsidR="008A3D50">
        <w:rPr>
          <w:rFonts w:cstheme="minorHAnsi"/>
          <w:sz w:val="24"/>
          <w:szCs w:val="24"/>
        </w:rPr>
        <w:t>e</w:t>
      </w:r>
      <w:r w:rsidRPr="001045DE">
        <w:rPr>
          <w:rFonts w:cstheme="minorHAnsi"/>
          <w:sz w:val="24"/>
          <w:szCs w:val="24"/>
        </w:rPr>
        <w:t>quality structures are unchanged from 20</w:t>
      </w:r>
      <w:r w:rsidR="0004558A" w:rsidRPr="001045DE">
        <w:rPr>
          <w:rFonts w:cstheme="minorHAnsi"/>
          <w:sz w:val="24"/>
          <w:szCs w:val="24"/>
        </w:rPr>
        <w:t>21</w:t>
      </w:r>
      <w:r w:rsidR="00301517" w:rsidRPr="001045DE">
        <w:rPr>
          <w:rFonts w:cstheme="minorHAnsi"/>
          <w:sz w:val="24"/>
          <w:szCs w:val="24"/>
        </w:rPr>
        <w:t xml:space="preserve">, although there has been a growth in </w:t>
      </w:r>
      <w:r w:rsidR="007C2942">
        <w:rPr>
          <w:rFonts w:cstheme="minorHAnsi"/>
          <w:sz w:val="24"/>
          <w:szCs w:val="24"/>
        </w:rPr>
        <w:t xml:space="preserve">new </w:t>
      </w:r>
      <w:r w:rsidR="00301517" w:rsidRPr="001045DE">
        <w:rPr>
          <w:rFonts w:cstheme="minorHAnsi"/>
          <w:sz w:val="24"/>
          <w:szCs w:val="24"/>
        </w:rPr>
        <w:t>EDI committees and groups in Colleges and Schools</w:t>
      </w:r>
      <w:r w:rsidR="00E03BD1">
        <w:rPr>
          <w:rFonts w:cstheme="minorHAnsi"/>
          <w:sz w:val="24"/>
          <w:szCs w:val="24"/>
        </w:rPr>
        <w:t>.</w:t>
      </w:r>
      <w:r w:rsidR="008C62F6">
        <w:rPr>
          <w:rFonts w:cstheme="minorHAnsi"/>
          <w:sz w:val="24"/>
          <w:szCs w:val="24"/>
        </w:rPr>
        <w:t xml:space="preserve"> </w:t>
      </w:r>
      <w:r w:rsidR="00F2667F">
        <w:rPr>
          <w:rFonts w:cstheme="minorHAnsi"/>
          <w:sz w:val="24"/>
          <w:szCs w:val="24"/>
        </w:rPr>
        <w:t xml:space="preserve">EDI committees in Colleges of Science and Engineering, </w:t>
      </w:r>
      <w:r w:rsidR="00E30F94">
        <w:rPr>
          <w:rFonts w:cstheme="minorHAnsi"/>
          <w:sz w:val="24"/>
          <w:szCs w:val="24"/>
        </w:rPr>
        <w:t>a</w:t>
      </w:r>
      <w:r w:rsidR="009A1B18">
        <w:rPr>
          <w:rFonts w:cstheme="minorHAnsi"/>
          <w:sz w:val="24"/>
          <w:szCs w:val="24"/>
        </w:rPr>
        <w:t>n</w:t>
      </w:r>
      <w:r w:rsidR="00E30F94">
        <w:rPr>
          <w:rFonts w:cstheme="minorHAnsi"/>
          <w:sz w:val="24"/>
          <w:szCs w:val="24"/>
        </w:rPr>
        <w:t xml:space="preserve"> Athena Swan committee in Colleges of S</w:t>
      </w:r>
      <w:r w:rsidR="0099791A">
        <w:rPr>
          <w:rFonts w:cstheme="minorHAnsi"/>
          <w:sz w:val="24"/>
          <w:szCs w:val="24"/>
        </w:rPr>
        <w:t>ocial Science and an Anti-Racism and EDI committee in the College of Arts</w:t>
      </w:r>
      <w:r w:rsidR="0073045F">
        <w:rPr>
          <w:rFonts w:cstheme="minorHAnsi"/>
          <w:sz w:val="24"/>
          <w:szCs w:val="24"/>
        </w:rPr>
        <w:t xml:space="preserve">, have given </w:t>
      </w:r>
      <w:r w:rsidR="00E11243">
        <w:rPr>
          <w:rFonts w:cstheme="minorHAnsi"/>
          <w:sz w:val="24"/>
          <w:szCs w:val="24"/>
        </w:rPr>
        <w:t>EDI more strategic importance across the University</w:t>
      </w:r>
      <w:r w:rsidR="0099791A">
        <w:rPr>
          <w:rFonts w:cstheme="minorHAnsi"/>
          <w:sz w:val="24"/>
          <w:szCs w:val="24"/>
        </w:rPr>
        <w:t>. T</w:t>
      </w:r>
      <w:r w:rsidR="00301517" w:rsidRPr="001045DE">
        <w:rPr>
          <w:rFonts w:cstheme="minorHAnsi"/>
          <w:sz w:val="24"/>
          <w:szCs w:val="24"/>
        </w:rPr>
        <w:t xml:space="preserve">his </w:t>
      </w:r>
      <w:r w:rsidR="00112D55" w:rsidRPr="001045DE">
        <w:rPr>
          <w:rFonts w:cstheme="minorHAnsi"/>
          <w:sz w:val="24"/>
          <w:szCs w:val="24"/>
        </w:rPr>
        <w:t>has prompted further discussion about the structure and whether it meets the University’s requirements</w:t>
      </w:r>
      <w:r w:rsidR="00B2289A" w:rsidRPr="001045DE">
        <w:rPr>
          <w:rFonts w:cstheme="minorHAnsi"/>
          <w:sz w:val="24"/>
          <w:szCs w:val="24"/>
        </w:rPr>
        <w:t>.</w:t>
      </w:r>
    </w:p>
    <w:p w14:paraId="564C932F" w14:textId="3BDD52D6" w:rsidR="009A43C1" w:rsidRPr="00D622E3" w:rsidRDefault="009A43C1" w:rsidP="009A43C1">
      <w:pPr>
        <w:rPr>
          <w:rFonts w:cstheme="minorHAnsi"/>
          <w:sz w:val="24"/>
          <w:szCs w:val="24"/>
        </w:rPr>
      </w:pPr>
      <w:r w:rsidRPr="001045DE">
        <w:rPr>
          <w:rFonts w:cstheme="minorHAnsi"/>
          <w:sz w:val="24"/>
          <w:szCs w:val="24"/>
        </w:rPr>
        <w:t xml:space="preserve">The University produces a Staff Equality Monitoring Report annually, which reflects on the previous academic cycle. This report outlines the overall diversity data for the University, including all protected characteristic data (where collected) for staff. The data is further broken down by age, disability, ethnicity, sex and sexual orientation, by College, </w:t>
      </w:r>
      <w:r w:rsidR="0020546E" w:rsidRPr="001045DE">
        <w:rPr>
          <w:rFonts w:cstheme="minorHAnsi"/>
          <w:sz w:val="24"/>
          <w:szCs w:val="24"/>
        </w:rPr>
        <w:t>Grade</w:t>
      </w:r>
      <w:r w:rsidRPr="001045DE">
        <w:rPr>
          <w:rFonts w:cstheme="minorHAnsi"/>
          <w:sz w:val="24"/>
          <w:szCs w:val="24"/>
        </w:rPr>
        <w:t xml:space="preserve"> 10 staff, Job Family Profiles, </w:t>
      </w:r>
      <w:r w:rsidR="0020546E" w:rsidRPr="001045DE">
        <w:rPr>
          <w:rFonts w:cstheme="minorHAnsi"/>
          <w:sz w:val="24"/>
          <w:szCs w:val="24"/>
        </w:rPr>
        <w:t xml:space="preserve">all </w:t>
      </w:r>
      <w:r w:rsidRPr="001045DE">
        <w:rPr>
          <w:rFonts w:cstheme="minorHAnsi"/>
          <w:sz w:val="24"/>
          <w:szCs w:val="24"/>
        </w:rPr>
        <w:t>Grade</w:t>
      </w:r>
      <w:r w:rsidR="0020546E" w:rsidRPr="001045DE">
        <w:rPr>
          <w:rFonts w:cstheme="minorHAnsi"/>
          <w:sz w:val="24"/>
          <w:szCs w:val="24"/>
        </w:rPr>
        <w:t>s</w:t>
      </w:r>
      <w:r w:rsidRPr="001045DE">
        <w:rPr>
          <w:rFonts w:cstheme="minorHAnsi"/>
          <w:sz w:val="24"/>
          <w:szCs w:val="24"/>
        </w:rPr>
        <w:t xml:space="preserve">, Full/Part Time, Contract Type, Nationality and </w:t>
      </w:r>
      <w:r w:rsidR="0032067D" w:rsidRPr="001045DE">
        <w:rPr>
          <w:rFonts w:cstheme="minorHAnsi"/>
          <w:sz w:val="24"/>
          <w:szCs w:val="24"/>
        </w:rPr>
        <w:t xml:space="preserve">for </w:t>
      </w:r>
      <w:r w:rsidRPr="001045DE">
        <w:rPr>
          <w:rFonts w:cstheme="minorHAnsi"/>
          <w:sz w:val="24"/>
          <w:szCs w:val="24"/>
        </w:rPr>
        <w:t xml:space="preserve">Recruitment – by all applications and successful applicants. The </w:t>
      </w:r>
      <w:hyperlink r:id="rId10" w:history="1">
        <w:r w:rsidRPr="00124429">
          <w:rPr>
            <w:rStyle w:val="Hyperlink"/>
            <w:rFonts w:cstheme="minorHAnsi"/>
            <w:color w:val="0070C0"/>
            <w:sz w:val="24"/>
            <w:szCs w:val="24"/>
          </w:rPr>
          <w:t>Staff Equality Monitoring Reports</w:t>
        </w:r>
      </w:hyperlink>
      <w:r w:rsidRPr="00D622E3">
        <w:rPr>
          <w:rFonts w:cstheme="minorHAnsi"/>
          <w:sz w:val="24"/>
          <w:szCs w:val="24"/>
        </w:rPr>
        <w:t xml:space="preserve"> from 201</w:t>
      </w:r>
      <w:r w:rsidR="00E6353E" w:rsidRPr="00D622E3">
        <w:rPr>
          <w:rFonts w:cstheme="minorHAnsi"/>
          <w:sz w:val="24"/>
          <w:szCs w:val="24"/>
        </w:rPr>
        <w:t>7-</w:t>
      </w:r>
      <w:r w:rsidR="001045DE" w:rsidRPr="00D622E3">
        <w:rPr>
          <w:rFonts w:cstheme="minorHAnsi"/>
          <w:sz w:val="24"/>
          <w:szCs w:val="24"/>
        </w:rPr>
        <w:t>2022</w:t>
      </w:r>
      <w:r w:rsidRPr="00D622E3">
        <w:rPr>
          <w:rFonts w:cstheme="minorHAnsi"/>
          <w:sz w:val="24"/>
          <w:szCs w:val="24"/>
        </w:rPr>
        <w:t xml:space="preserve"> are available online</w:t>
      </w:r>
      <w:r w:rsidR="001045DE" w:rsidRPr="00D622E3">
        <w:rPr>
          <w:rFonts w:cstheme="minorHAnsi"/>
          <w:sz w:val="24"/>
          <w:szCs w:val="24"/>
        </w:rPr>
        <w:t>, and reports from 2011 can be requested</w:t>
      </w:r>
      <w:r w:rsidRPr="00D622E3">
        <w:rPr>
          <w:rFonts w:cstheme="minorHAnsi"/>
          <w:sz w:val="24"/>
          <w:szCs w:val="24"/>
        </w:rPr>
        <w:t>.</w:t>
      </w:r>
    </w:p>
    <w:p w14:paraId="09E46D5A" w14:textId="4B35442E" w:rsidR="009001DD" w:rsidRPr="00D622E3" w:rsidRDefault="009001DD" w:rsidP="009001DD">
      <w:pPr>
        <w:rPr>
          <w:rFonts w:cstheme="minorHAnsi"/>
          <w:sz w:val="24"/>
          <w:szCs w:val="24"/>
        </w:rPr>
      </w:pPr>
      <w:r w:rsidRPr="00D622E3">
        <w:rPr>
          <w:rFonts w:cstheme="minorHAnsi"/>
          <w:sz w:val="24"/>
          <w:szCs w:val="24"/>
        </w:rPr>
        <w:t>The University strives to have a diverse representation on its governance body, Court, and is committed to a gender balance of 40:40:20</w:t>
      </w:r>
      <w:r w:rsidRPr="00D622E3">
        <w:rPr>
          <w:rFonts w:cstheme="minorHAnsi"/>
          <w:sz w:val="24"/>
          <w:szCs w:val="24"/>
          <w:vertAlign w:val="superscript"/>
        </w:rPr>
        <w:footnoteReference w:id="3"/>
      </w:r>
      <w:r w:rsidRPr="00D622E3">
        <w:rPr>
          <w:rFonts w:cstheme="minorHAnsi"/>
          <w:sz w:val="24"/>
          <w:szCs w:val="24"/>
        </w:rPr>
        <w:t>. As of 202</w:t>
      </w:r>
      <w:r w:rsidR="009A1617" w:rsidRPr="00D622E3">
        <w:rPr>
          <w:rFonts w:cstheme="minorHAnsi"/>
          <w:sz w:val="24"/>
          <w:szCs w:val="24"/>
        </w:rPr>
        <w:t>3</w:t>
      </w:r>
      <w:r w:rsidRPr="00D622E3">
        <w:rPr>
          <w:rFonts w:cstheme="minorHAnsi"/>
          <w:sz w:val="24"/>
          <w:szCs w:val="24"/>
        </w:rPr>
        <w:t>, Court gender balance is:</w:t>
      </w:r>
    </w:p>
    <w:tbl>
      <w:tblPr>
        <w:tblStyle w:val="TableGrid"/>
        <w:tblW w:w="0" w:type="auto"/>
        <w:tblInd w:w="-5" w:type="dxa"/>
        <w:tblLook w:val="04A0" w:firstRow="1" w:lastRow="0" w:firstColumn="1" w:lastColumn="0" w:noHBand="0" w:noVBand="1"/>
        <w:tblCaption w:val="Gender Balance of University Court"/>
        <w:tblDescription w:val="Female 44% and Male 56%"/>
      </w:tblPr>
      <w:tblGrid>
        <w:gridCol w:w="1526"/>
        <w:gridCol w:w="1276"/>
        <w:gridCol w:w="1275"/>
      </w:tblGrid>
      <w:tr w:rsidR="00D622E3" w:rsidRPr="00D622E3" w14:paraId="098EA9CF" w14:textId="77777777" w:rsidTr="00B2289A">
        <w:trPr>
          <w:tblHeader/>
        </w:trPr>
        <w:tc>
          <w:tcPr>
            <w:tcW w:w="1526" w:type="dxa"/>
            <w:shd w:val="clear" w:color="auto" w:fill="003865"/>
            <w:vAlign w:val="center"/>
          </w:tcPr>
          <w:p w14:paraId="14105D12" w14:textId="77777777" w:rsidR="009001DD" w:rsidRPr="00D622E3" w:rsidRDefault="009001DD" w:rsidP="009001DD">
            <w:pPr>
              <w:spacing w:after="160" w:line="259" w:lineRule="auto"/>
              <w:rPr>
                <w:rFonts w:cstheme="minorHAnsi"/>
                <w:b/>
                <w:sz w:val="24"/>
                <w:szCs w:val="24"/>
              </w:rPr>
            </w:pPr>
            <w:r w:rsidRPr="00D622E3">
              <w:rPr>
                <w:rFonts w:cstheme="minorHAnsi"/>
                <w:b/>
                <w:sz w:val="24"/>
                <w:szCs w:val="24"/>
              </w:rPr>
              <w:t>Sex</w:t>
            </w:r>
          </w:p>
        </w:tc>
        <w:tc>
          <w:tcPr>
            <w:tcW w:w="1276" w:type="dxa"/>
            <w:shd w:val="clear" w:color="auto" w:fill="003865"/>
            <w:vAlign w:val="center"/>
          </w:tcPr>
          <w:p w14:paraId="52CF3D8D" w14:textId="77777777" w:rsidR="009001DD" w:rsidRPr="00D622E3" w:rsidRDefault="009001DD" w:rsidP="009001DD">
            <w:pPr>
              <w:spacing w:after="160" w:line="259" w:lineRule="auto"/>
              <w:rPr>
                <w:rFonts w:cstheme="minorHAnsi"/>
                <w:b/>
                <w:sz w:val="24"/>
                <w:szCs w:val="24"/>
              </w:rPr>
            </w:pPr>
            <w:r w:rsidRPr="00D622E3">
              <w:rPr>
                <w:rFonts w:cstheme="minorHAnsi"/>
                <w:b/>
                <w:sz w:val="24"/>
                <w:szCs w:val="24"/>
              </w:rPr>
              <w:t>No.</w:t>
            </w:r>
          </w:p>
        </w:tc>
        <w:tc>
          <w:tcPr>
            <w:tcW w:w="1275" w:type="dxa"/>
            <w:shd w:val="clear" w:color="auto" w:fill="003865"/>
            <w:vAlign w:val="center"/>
          </w:tcPr>
          <w:p w14:paraId="73792508" w14:textId="77777777" w:rsidR="009001DD" w:rsidRPr="00D622E3" w:rsidRDefault="009001DD" w:rsidP="009001DD">
            <w:pPr>
              <w:spacing w:after="160" w:line="259" w:lineRule="auto"/>
              <w:rPr>
                <w:rFonts w:cstheme="minorHAnsi"/>
                <w:b/>
                <w:sz w:val="24"/>
                <w:szCs w:val="24"/>
              </w:rPr>
            </w:pPr>
            <w:r w:rsidRPr="00D622E3">
              <w:rPr>
                <w:rFonts w:cstheme="minorHAnsi"/>
                <w:b/>
                <w:sz w:val="24"/>
                <w:szCs w:val="24"/>
              </w:rPr>
              <w:t>%</w:t>
            </w:r>
          </w:p>
        </w:tc>
      </w:tr>
      <w:tr w:rsidR="00D622E3" w:rsidRPr="00D622E3" w14:paraId="7E5BCDCD" w14:textId="77777777" w:rsidTr="00B2289A">
        <w:tc>
          <w:tcPr>
            <w:tcW w:w="1526" w:type="dxa"/>
            <w:shd w:val="clear" w:color="auto" w:fill="003865"/>
          </w:tcPr>
          <w:p w14:paraId="41150E17" w14:textId="77777777" w:rsidR="009001DD" w:rsidRPr="00D622E3" w:rsidRDefault="009001DD" w:rsidP="009001DD">
            <w:pPr>
              <w:spacing w:after="160" w:line="259" w:lineRule="auto"/>
              <w:rPr>
                <w:rFonts w:cstheme="minorHAnsi"/>
                <w:sz w:val="24"/>
                <w:szCs w:val="24"/>
              </w:rPr>
            </w:pPr>
            <w:r w:rsidRPr="00D622E3">
              <w:rPr>
                <w:rFonts w:cstheme="minorHAnsi"/>
                <w:sz w:val="24"/>
                <w:szCs w:val="24"/>
              </w:rPr>
              <w:t>Female</w:t>
            </w:r>
          </w:p>
        </w:tc>
        <w:tc>
          <w:tcPr>
            <w:tcW w:w="1276" w:type="dxa"/>
            <w:vAlign w:val="center"/>
          </w:tcPr>
          <w:p w14:paraId="5FCA626B" w14:textId="31A88436" w:rsidR="009001DD" w:rsidRPr="00D622E3" w:rsidRDefault="009001DD" w:rsidP="009001DD">
            <w:pPr>
              <w:spacing w:after="160" w:line="259" w:lineRule="auto"/>
              <w:rPr>
                <w:rFonts w:cstheme="minorHAnsi"/>
                <w:sz w:val="24"/>
                <w:szCs w:val="24"/>
              </w:rPr>
            </w:pPr>
            <w:r w:rsidRPr="00D622E3">
              <w:rPr>
                <w:rFonts w:cstheme="minorHAnsi"/>
                <w:sz w:val="24"/>
                <w:szCs w:val="24"/>
              </w:rPr>
              <w:t>1</w:t>
            </w:r>
            <w:r w:rsidR="00D622E3" w:rsidRPr="00D622E3">
              <w:rPr>
                <w:rFonts w:cstheme="minorHAnsi"/>
                <w:sz w:val="24"/>
                <w:szCs w:val="24"/>
              </w:rPr>
              <w:t>1</w:t>
            </w:r>
          </w:p>
        </w:tc>
        <w:tc>
          <w:tcPr>
            <w:tcW w:w="1275" w:type="dxa"/>
            <w:vAlign w:val="center"/>
          </w:tcPr>
          <w:p w14:paraId="722E8972" w14:textId="6D720BA2" w:rsidR="009001DD" w:rsidRPr="00D622E3" w:rsidRDefault="009001DD" w:rsidP="009001DD">
            <w:pPr>
              <w:spacing w:after="160" w:line="259" w:lineRule="auto"/>
              <w:rPr>
                <w:rFonts w:cstheme="minorHAnsi"/>
                <w:sz w:val="24"/>
                <w:szCs w:val="24"/>
              </w:rPr>
            </w:pPr>
            <w:r w:rsidRPr="00D622E3">
              <w:rPr>
                <w:rFonts w:cstheme="minorHAnsi"/>
                <w:sz w:val="24"/>
                <w:szCs w:val="24"/>
              </w:rPr>
              <w:t>4</w:t>
            </w:r>
            <w:r w:rsidR="00D622E3" w:rsidRPr="00D622E3">
              <w:rPr>
                <w:rFonts w:cstheme="minorHAnsi"/>
                <w:sz w:val="24"/>
                <w:szCs w:val="24"/>
              </w:rPr>
              <w:t>4</w:t>
            </w:r>
          </w:p>
        </w:tc>
      </w:tr>
      <w:tr w:rsidR="00D622E3" w:rsidRPr="00D622E3" w14:paraId="31DDE97C" w14:textId="77777777" w:rsidTr="00B2289A">
        <w:tc>
          <w:tcPr>
            <w:tcW w:w="1526" w:type="dxa"/>
            <w:shd w:val="clear" w:color="auto" w:fill="003865"/>
          </w:tcPr>
          <w:p w14:paraId="22F32730" w14:textId="77777777" w:rsidR="009001DD" w:rsidRPr="00D622E3" w:rsidRDefault="009001DD" w:rsidP="009001DD">
            <w:pPr>
              <w:spacing w:after="160" w:line="259" w:lineRule="auto"/>
              <w:rPr>
                <w:rFonts w:cstheme="minorHAnsi"/>
                <w:sz w:val="24"/>
                <w:szCs w:val="24"/>
              </w:rPr>
            </w:pPr>
            <w:r w:rsidRPr="00D622E3">
              <w:rPr>
                <w:rFonts w:cstheme="minorHAnsi"/>
                <w:sz w:val="24"/>
                <w:szCs w:val="24"/>
              </w:rPr>
              <w:t>Male</w:t>
            </w:r>
          </w:p>
        </w:tc>
        <w:tc>
          <w:tcPr>
            <w:tcW w:w="1276" w:type="dxa"/>
            <w:vAlign w:val="center"/>
          </w:tcPr>
          <w:p w14:paraId="65331DB3" w14:textId="0A229544" w:rsidR="009001DD" w:rsidRPr="00D622E3" w:rsidRDefault="009001DD" w:rsidP="009001DD">
            <w:pPr>
              <w:spacing w:after="160" w:line="259" w:lineRule="auto"/>
              <w:rPr>
                <w:rFonts w:cstheme="minorHAnsi"/>
                <w:sz w:val="24"/>
                <w:szCs w:val="24"/>
              </w:rPr>
            </w:pPr>
            <w:r w:rsidRPr="00D622E3">
              <w:rPr>
                <w:rFonts w:cstheme="minorHAnsi"/>
                <w:sz w:val="24"/>
                <w:szCs w:val="24"/>
              </w:rPr>
              <w:t>1</w:t>
            </w:r>
            <w:r w:rsidR="00D622E3" w:rsidRPr="00D622E3">
              <w:rPr>
                <w:rFonts w:cstheme="minorHAnsi"/>
                <w:sz w:val="24"/>
                <w:szCs w:val="24"/>
              </w:rPr>
              <w:t>4</w:t>
            </w:r>
          </w:p>
        </w:tc>
        <w:tc>
          <w:tcPr>
            <w:tcW w:w="1275" w:type="dxa"/>
            <w:vAlign w:val="center"/>
          </w:tcPr>
          <w:p w14:paraId="75073DE1" w14:textId="7F70325F" w:rsidR="009001DD" w:rsidRPr="00D622E3" w:rsidRDefault="009001DD" w:rsidP="009001DD">
            <w:pPr>
              <w:spacing w:after="160" w:line="259" w:lineRule="auto"/>
              <w:rPr>
                <w:rFonts w:cstheme="minorHAnsi"/>
                <w:sz w:val="24"/>
                <w:szCs w:val="24"/>
              </w:rPr>
            </w:pPr>
            <w:r w:rsidRPr="00D622E3">
              <w:rPr>
                <w:rFonts w:cstheme="minorHAnsi"/>
                <w:sz w:val="24"/>
                <w:szCs w:val="24"/>
              </w:rPr>
              <w:t>5</w:t>
            </w:r>
            <w:r w:rsidR="00D622E3" w:rsidRPr="00D622E3">
              <w:rPr>
                <w:rFonts w:cstheme="minorHAnsi"/>
                <w:sz w:val="24"/>
                <w:szCs w:val="24"/>
              </w:rPr>
              <w:t>6</w:t>
            </w:r>
          </w:p>
        </w:tc>
      </w:tr>
    </w:tbl>
    <w:p w14:paraId="2DD4A8DA" w14:textId="77777777" w:rsidR="00F26E29" w:rsidRPr="00D622E3" w:rsidRDefault="00F26E29" w:rsidP="00F26E29">
      <w:pPr>
        <w:rPr>
          <w:rFonts w:cstheme="minorHAnsi"/>
          <w:sz w:val="24"/>
          <w:szCs w:val="24"/>
        </w:rPr>
      </w:pPr>
    </w:p>
    <w:p w14:paraId="49211095" w14:textId="30FAC746" w:rsidR="00F26E29" w:rsidRPr="00B45488" w:rsidRDefault="00F26E29" w:rsidP="00F26E29">
      <w:pPr>
        <w:rPr>
          <w:rFonts w:cstheme="minorHAnsi"/>
          <w:sz w:val="24"/>
          <w:szCs w:val="24"/>
        </w:rPr>
      </w:pPr>
      <w:r w:rsidRPr="00B45488">
        <w:rPr>
          <w:rFonts w:cstheme="minorHAnsi"/>
          <w:sz w:val="24"/>
          <w:szCs w:val="24"/>
        </w:rPr>
        <w:lastRenderedPageBreak/>
        <w:t>The University’s executive is known as the Senior Management Group (SMG). The Senior Management Group advises the Principal as chief executive officer of the University, on matters of</w:t>
      </w:r>
      <w:r w:rsidR="0013313F">
        <w:rPr>
          <w:rFonts w:cstheme="minorHAnsi"/>
          <w:sz w:val="24"/>
          <w:szCs w:val="24"/>
        </w:rPr>
        <w:t xml:space="preserve"> strategy and</w:t>
      </w:r>
      <w:r w:rsidRPr="00B45488">
        <w:rPr>
          <w:rFonts w:cstheme="minorHAnsi"/>
          <w:sz w:val="24"/>
          <w:szCs w:val="24"/>
        </w:rPr>
        <w:t xml:space="preserve"> policy. It also advises Court and Senate on matters of strategic policy (academic and resource) and acts on a day-to-day basis to implement the policies of Court and Senate. This group consists of the Principal, the Senior Vice-Principal, f</w:t>
      </w:r>
      <w:r w:rsidR="00BF6985" w:rsidRPr="00B45488">
        <w:rPr>
          <w:rFonts w:cstheme="minorHAnsi"/>
          <w:sz w:val="24"/>
          <w:szCs w:val="24"/>
        </w:rPr>
        <w:t>our</w:t>
      </w:r>
      <w:r w:rsidRPr="00B45488">
        <w:rPr>
          <w:rFonts w:cstheme="minorHAnsi"/>
          <w:sz w:val="24"/>
          <w:szCs w:val="24"/>
        </w:rPr>
        <w:t xml:space="preserve"> functional Vice Principals, the four Vice Principals and Heads of College, the Clerk of Senate, Chief Operating Officer and University Secretary, and the Executive Directors of Finance and People and Organisational Development. As of 202</w:t>
      </w:r>
      <w:r w:rsidR="00D75E5C" w:rsidRPr="00B45488">
        <w:rPr>
          <w:rFonts w:cstheme="minorHAnsi"/>
          <w:sz w:val="24"/>
          <w:szCs w:val="24"/>
        </w:rPr>
        <w:t>3</w:t>
      </w:r>
      <w:r w:rsidRPr="00B45488">
        <w:rPr>
          <w:rFonts w:cstheme="minorHAnsi"/>
          <w:sz w:val="24"/>
          <w:szCs w:val="24"/>
        </w:rPr>
        <w:t xml:space="preserve"> the gender balance is outlined below.</w:t>
      </w:r>
    </w:p>
    <w:tbl>
      <w:tblPr>
        <w:tblStyle w:val="TableGrid"/>
        <w:tblW w:w="0" w:type="auto"/>
        <w:tblInd w:w="-5" w:type="dxa"/>
        <w:tblLook w:val="04A0" w:firstRow="1" w:lastRow="0" w:firstColumn="1" w:lastColumn="0" w:noHBand="0" w:noVBand="1"/>
        <w:tblCaption w:val="Gender Balance of University's Senior Management Group"/>
        <w:tblDescription w:val="Female 50% and Male 50%"/>
      </w:tblPr>
      <w:tblGrid>
        <w:gridCol w:w="1526"/>
        <w:gridCol w:w="1276"/>
        <w:gridCol w:w="1275"/>
      </w:tblGrid>
      <w:tr w:rsidR="00B45488" w:rsidRPr="00B45488" w14:paraId="0FA0A552" w14:textId="77777777" w:rsidTr="00B2289A">
        <w:trPr>
          <w:trHeight w:val="175"/>
          <w:tblHeader/>
        </w:trPr>
        <w:tc>
          <w:tcPr>
            <w:tcW w:w="1526" w:type="dxa"/>
            <w:shd w:val="clear" w:color="auto" w:fill="003865"/>
            <w:vAlign w:val="center"/>
          </w:tcPr>
          <w:p w14:paraId="1485EDA3" w14:textId="77777777" w:rsidR="00F26E29" w:rsidRPr="00B45488" w:rsidRDefault="00F26E29" w:rsidP="00F26E29">
            <w:pPr>
              <w:spacing w:after="160" w:line="259" w:lineRule="auto"/>
              <w:rPr>
                <w:rFonts w:cstheme="minorHAnsi"/>
                <w:b/>
                <w:sz w:val="24"/>
                <w:szCs w:val="24"/>
              </w:rPr>
            </w:pPr>
            <w:r w:rsidRPr="00B45488">
              <w:rPr>
                <w:rFonts w:cstheme="minorHAnsi"/>
                <w:b/>
                <w:sz w:val="24"/>
                <w:szCs w:val="24"/>
              </w:rPr>
              <w:t>Sex</w:t>
            </w:r>
          </w:p>
        </w:tc>
        <w:tc>
          <w:tcPr>
            <w:tcW w:w="1276" w:type="dxa"/>
            <w:shd w:val="clear" w:color="auto" w:fill="003865"/>
            <w:vAlign w:val="center"/>
          </w:tcPr>
          <w:p w14:paraId="70FA40F5" w14:textId="77777777" w:rsidR="00F26E29" w:rsidRPr="00B45488" w:rsidRDefault="00F26E29" w:rsidP="00F26E29">
            <w:pPr>
              <w:spacing w:after="160" w:line="259" w:lineRule="auto"/>
              <w:rPr>
                <w:rFonts w:cstheme="minorHAnsi"/>
                <w:b/>
                <w:sz w:val="24"/>
                <w:szCs w:val="24"/>
              </w:rPr>
            </w:pPr>
            <w:r w:rsidRPr="00B45488">
              <w:rPr>
                <w:rFonts w:cstheme="minorHAnsi"/>
                <w:b/>
                <w:sz w:val="24"/>
                <w:szCs w:val="24"/>
              </w:rPr>
              <w:t>No.</w:t>
            </w:r>
          </w:p>
        </w:tc>
        <w:tc>
          <w:tcPr>
            <w:tcW w:w="1275" w:type="dxa"/>
            <w:shd w:val="clear" w:color="auto" w:fill="003865"/>
            <w:vAlign w:val="center"/>
          </w:tcPr>
          <w:p w14:paraId="4B9AE06D" w14:textId="77777777" w:rsidR="00F26E29" w:rsidRPr="00B45488" w:rsidRDefault="00F26E29" w:rsidP="00F26E29">
            <w:pPr>
              <w:spacing w:after="160" w:line="259" w:lineRule="auto"/>
              <w:rPr>
                <w:rFonts w:cstheme="minorHAnsi"/>
                <w:b/>
                <w:sz w:val="24"/>
                <w:szCs w:val="24"/>
              </w:rPr>
            </w:pPr>
            <w:r w:rsidRPr="00B45488">
              <w:rPr>
                <w:rFonts w:cstheme="minorHAnsi"/>
                <w:b/>
                <w:sz w:val="24"/>
                <w:szCs w:val="24"/>
              </w:rPr>
              <w:t>%</w:t>
            </w:r>
          </w:p>
        </w:tc>
      </w:tr>
      <w:tr w:rsidR="00B45488" w:rsidRPr="00B45488" w14:paraId="319520E2" w14:textId="77777777" w:rsidTr="00B2289A">
        <w:tc>
          <w:tcPr>
            <w:tcW w:w="1526" w:type="dxa"/>
            <w:shd w:val="clear" w:color="auto" w:fill="003865"/>
          </w:tcPr>
          <w:p w14:paraId="20F2E799" w14:textId="77777777" w:rsidR="00F26E29" w:rsidRPr="00B45488" w:rsidRDefault="00F26E29" w:rsidP="00F26E29">
            <w:pPr>
              <w:spacing w:after="160" w:line="259" w:lineRule="auto"/>
              <w:rPr>
                <w:rFonts w:cstheme="minorHAnsi"/>
                <w:sz w:val="24"/>
                <w:szCs w:val="24"/>
              </w:rPr>
            </w:pPr>
            <w:r w:rsidRPr="00B45488">
              <w:rPr>
                <w:rFonts w:cstheme="minorHAnsi"/>
                <w:sz w:val="24"/>
                <w:szCs w:val="24"/>
              </w:rPr>
              <w:t>Female</w:t>
            </w:r>
          </w:p>
        </w:tc>
        <w:tc>
          <w:tcPr>
            <w:tcW w:w="1276" w:type="dxa"/>
            <w:vAlign w:val="center"/>
          </w:tcPr>
          <w:p w14:paraId="21ABA3E3" w14:textId="77777777" w:rsidR="00F26E29" w:rsidRPr="00B45488" w:rsidRDefault="00F26E29" w:rsidP="00F26E29">
            <w:pPr>
              <w:spacing w:after="160" w:line="259" w:lineRule="auto"/>
              <w:rPr>
                <w:rFonts w:cstheme="minorHAnsi"/>
                <w:sz w:val="24"/>
                <w:szCs w:val="24"/>
              </w:rPr>
            </w:pPr>
            <w:r w:rsidRPr="00B45488">
              <w:rPr>
                <w:rFonts w:cstheme="minorHAnsi"/>
                <w:sz w:val="24"/>
                <w:szCs w:val="24"/>
              </w:rPr>
              <w:t>7</w:t>
            </w:r>
          </w:p>
        </w:tc>
        <w:tc>
          <w:tcPr>
            <w:tcW w:w="1275" w:type="dxa"/>
            <w:vAlign w:val="center"/>
          </w:tcPr>
          <w:p w14:paraId="50BB03FF" w14:textId="05C84C59" w:rsidR="00F26E29" w:rsidRPr="00B45488" w:rsidRDefault="00B45488" w:rsidP="00F26E29">
            <w:pPr>
              <w:spacing w:after="160" w:line="259" w:lineRule="auto"/>
              <w:rPr>
                <w:rFonts w:cstheme="minorHAnsi"/>
                <w:sz w:val="24"/>
                <w:szCs w:val="24"/>
              </w:rPr>
            </w:pPr>
            <w:r w:rsidRPr="00B45488">
              <w:rPr>
                <w:rFonts w:cstheme="minorHAnsi"/>
                <w:sz w:val="24"/>
                <w:szCs w:val="24"/>
              </w:rPr>
              <w:t>50</w:t>
            </w:r>
          </w:p>
        </w:tc>
      </w:tr>
      <w:tr w:rsidR="00B45488" w:rsidRPr="00B45488" w14:paraId="72F196D3" w14:textId="77777777" w:rsidTr="00B2289A">
        <w:tc>
          <w:tcPr>
            <w:tcW w:w="1526" w:type="dxa"/>
            <w:shd w:val="clear" w:color="auto" w:fill="003865"/>
          </w:tcPr>
          <w:p w14:paraId="411B5060" w14:textId="77777777" w:rsidR="00F26E29" w:rsidRPr="00B45488" w:rsidRDefault="00F26E29" w:rsidP="00F26E29">
            <w:pPr>
              <w:spacing w:after="160" w:line="259" w:lineRule="auto"/>
              <w:rPr>
                <w:rFonts w:cstheme="minorHAnsi"/>
                <w:sz w:val="24"/>
                <w:szCs w:val="24"/>
              </w:rPr>
            </w:pPr>
            <w:r w:rsidRPr="00B45488">
              <w:rPr>
                <w:rFonts w:cstheme="minorHAnsi"/>
                <w:sz w:val="24"/>
                <w:szCs w:val="24"/>
              </w:rPr>
              <w:t>Male</w:t>
            </w:r>
          </w:p>
        </w:tc>
        <w:tc>
          <w:tcPr>
            <w:tcW w:w="1276" w:type="dxa"/>
            <w:vAlign w:val="center"/>
          </w:tcPr>
          <w:p w14:paraId="4FE73749" w14:textId="4F300E2C" w:rsidR="00F26E29" w:rsidRPr="00B45488" w:rsidRDefault="00D75E5C" w:rsidP="00F26E29">
            <w:pPr>
              <w:spacing w:after="160" w:line="259" w:lineRule="auto"/>
              <w:rPr>
                <w:rFonts w:cstheme="minorHAnsi"/>
                <w:sz w:val="24"/>
                <w:szCs w:val="24"/>
              </w:rPr>
            </w:pPr>
            <w:r w:rsidRPr="00B45488">
              <w:rPr>
                <w:rFonts w:cstheme="minorHAnsi"/>
                <w:sz w:val="24"/>
                <w:szCs w:val="24"/>
              </w:rPr>
              <w:t>7</w:t>
            </w:r>
          </w:p>
        </w:tc>
        <w:tc>
          <w:tcPr>
            <w:tcW w:w="1275" w:type="dxa"/>
            <w:vAlign w:val="center"/>
          </w:tcPr>
          <w:p w14:paraId="7440BF23" w14:textId="70EEF581" w:rsidR="00F26E29" w:rsidRPr="00B45488" w:rsidRDefault="00244CCB" w:rsidP="00F26E29">
            <w:pPr>
              <w:spacing w:after="160" w:line="259" w:lineRule="auto"/>
              <w:rPr>
                <w:rFonts w:cstheme="minorHAnsi"/>
                <w:sz w:val="24"/>
                <w:szCs w:val="24"/>
              </w:rPr>
            </w:pPr>
            <w:r w:rsidRPr="00B45488">
              <w:rPr>
                <w:rFonts w:cstheme="minorHAnsi"/>
                <w:sz w:val="24"/>
                <w:szCs w:val="24"/>
              </w:rPr>
              <w:t>5</w:t>
            </w:r>
            <w:r w:rsidR="00B45488" w:rsidRPr="00B45488">
              <w:rPr>
                <w:rFonts w:cstheme="minorHAnsi"/>
                <w:sz w:val="24"/>
                <w:szCs w:val="24"/>
              </w:rPr>
              <w:t>0</w:t>
            </w:r>
          </w:p>
        </w:tc>
      </w:tr>
    </w:tbl>
    <w:p w14:paraId="29E7DEC9" w14:textId="77777777" w:rsidR="009001DD" w:rsidRPr="0076642E" w:rsidRDefault="009001DD" w:rsidP="009A43C1">
      <w:pPr>
        <w:rPr>
          <w:rFonts w:cstheme="minorHAnsi"/>
          <w:color w:val="FF0000"/>
          <w:sz w:val="24"/>
          <w:szCs w:val="24"/>
        </w:rPr>
      </w:pPr>
    </w:p>
    <w:p w14:paraId="32F301C3" w14:textId="526EE1DF" w:rsidR="00C705EC" w:rsidRPr="009637BB" w:rsidRDefault="00393AB5" w:rsidP="006C075C">
      <w:pPr>
        <w:pStyle w:val="Heading1"/>
      </w:pPr>
      <w:r w:rsidRPr="009637BB">
        <w:t xml:space="preserve">4. </w:t>
      </w:r>
      <w:r w:rsidR="00C705EC" w:rsidRPr="009637BB">
        <w:t>External Influencers</w:t>
      </w:r>
    </w:p>
    <w:p w14:paraId="29821129" w14:textId="4AA8FB82" w:rsidR="00553BFD" w:rsidRPr="009637BB" w:rsidRDefault="00264B09" w:rsidP="008516E9">
      <w:pPr>
        <w:rPr>
          <w:rFonts w:cstheme="minorHAnsi"/>
          <w:sz w:val="24"/>
          <w:szCs w:val="24"/>
        </w:rPr>
      </w:pPr>
      <w:bookmarkStart w:id="0" w:name="_Hlk69743681"/>
      <w:r w:rsidRPr="00264B09">
        <w:rPr>
          <w:rFonts w:cstheme="minorHAnsi"/>
          <w:b/>
          <w:bCs/>
          <w:sz w:val="24"/>
          <w:szCs w:val="24"/>
        </w:rPr>
        <w:t>4.1</w:t>
      </w:r>
      <w:r>
        <w:rPr>
          <w:rFonts w:cstheme="minorHAnsi"/>
          <w:sz w:val="24"/>
          <w:szCs w:val="24"/>
        </w:rPr>
        <w:t xml:space="preserve"> </w:t>
      </w:r>
      <w:r w:rsidR="007E242B" w:rsidRPr="009637BB">
        <w:rPr>
          <w:rFonts w:cstheme="minorHAnsi"/>
          <w:sz w:val="24"/>
          <w:szCs w:val="24"/>
        </w:rPr>
        <w:t xml:space="preserve">From 2021, the major influence on </w:t>
      </w:r>
      <w:r w:rsidR="003F7FAC" w:rsidRPr="009637BB">
        <w:rPr>
          <w:rFonts w:cstheme="minorHAnsi"/>
          <w:sz w:val="24"/>
          <w:szCs w:val="24"/>
        </w:rPr>
        <w:t>the University</w:t>
      </w:r>
      <w:r w:rsidR="007E242B" w:rsidRPr="009637BB">
        <w:rPr>
          <w:rFonts w:cstheme="minorHAnsi"/>
          <w:sz w:val="24"/>
          <w:szCs w:val="24"/>
        </w:rPr>
        <w:t xml:space="preserve"> has been the impact of the</w:t>
      </w:r>
      <w:r w:rsidR="00474B2B">
        <w:rPr>
          <w:rFonts w:cstheme="minorHAnsi"/>
          <w:sz w:val="24"/>
          <w:szCs w:val="24"/>
        </w:rPr>
        <w:t xml:space="preserve"> COVID-19</w:t>
      </w:r>
      <w:r w:rsidR="007E242B" w:rsidRPr="009637BB">
        <w:rPr>
          <w:rFonts w:cstheme="minorHAnsi"/>
          <w:sz w:val="24"/>
          <w:szCs w:val="24"/>
        </w:rPr>
        <w:t xml:space="preserve"> pandemic</w:t>
      </w:r>
      <w:r w:rsidR="007F0561" w:rsidRPr="009637BB">
        <w:rPr>
          <w:rFonts w:cstheme="minorHAnsi"/>
          <w:sz w:val="24"/>
          <w:szCs w:val="24"/>
        </w:rPr>
        <w:t xml:space="preserve">. The focus on teaching methods, returning to campus for students and colleagues has </w:t>
      </w:r>
      <w:r w:rsidR="0013271D" w:rsidRPr="009637BB">
        <w:rPr>
          <w:rFonts w:cstheme="minorHAnsi"/>
          <w:sz w:val="24"/>
          <w:szCs w:val="24"/>
        </w:rPr>
        <w:t>been a challenge to every organisation.</w:t>
      </w:r>
      <w:r w:rsidR="00384498" w:rsidRPr="009637BB">
        <w:rPr>
          <w:rFonts w:cstheme="minorHAnsi"/>
          <w:sz w:val="24"/>
          <w:szCs w:val="24"/>
        </w:rPr>
        <w:t xml:space="preserve"> </w:t>
      </w:r>
    </w:p>
    <w:p w14:paraId="0999A326" w14:textId="598D9D25" w:rsidR="00F27ABE" w:rsidRPr="009637BB" w:rsidRDefault="00384498" w:rsidP="008516E9">
      <w:pPr>
        <w:rPr>
          <w:rFonts w:cstheme="minorHAnsi"/>
          <w:sz w:val="24"/>
          <w:szCs w:val="24"/>
        </w:rPr>
      </w:pPr>
      <w:r w:rsidRPr="009637BB">
        <w:rPr>
          <w:rFonts w:cstheme="minorHAnsi"/>
          <w:sz w:val="24"/>
          <w:szCs w:val="24"/>
        </w:rPr>
        <w:t>The University return to full teaching on campus in 2022, however there has been a significant emphasis o</w:t>
      </w:r>
      <w:r w:rsidR="00237ADC">
        <w:rPr>
          <w:rFonts w:cstheme="minorHAnsi"/>
          <w:sz w:val="24"/>
          <w:szCs w:val="24"/>
        </w:rPr>
        <w:t>n</w:t>
      </w:r>
      <w:r w:rsidRPr="009637BB">
        <w:rPr>
          <w:rFonts w:cstheme="minorHAnsi"/>
          <w:sz w:val="24"/>
          <w:szCs w:val="24"/>
        </w:rPr>
        <w:t xml:space="preserve"> safe return and trying to minimise risk to a range of students and </w:t>
      </w:r>
      <w:r w:rsidR="00651FCC" w:rsidRPr="009637BB">
        <w:rPr>
          <w:rFonts w:cstheme="minorHAnsi"/>
          <w:sz w:val="24"/>
          <w:szCs w:val="24"/>
        </w:rPr>
        <w:t>colleagues</w:t>
      </w:r>
      <w:r w:rsidRPr="009637BB">
        <w:rPr>
          <w:rFonts w:cstheme="minorHAnsi"/>
          <w:sz w:val="24"/>
          <w:szCs w:val="24"/>
        </w:rPr>
        <w:t>.</w:t>
      </w:r>
      <w:r w:rsidR="00651FCC" w:rsidRPr="009637BB">
        <w:rPr>
          <w:rFonts w:cstheme="minorHAnsi"/>
          <w:sz w:val="24"/>
          <w:szCs w:val="24"/>
        </w:rPr>
        <w:t xml:space="preserve"> The organisation has been keen to maximise the benefits of </w:t>
      </w:r>
      <w:r w:rsidR="00365F8D" w:rsidRPr="009637BB">
        <w:rPr>
          <w:rFonts w:cstheme="minorHAnsi"/>
          <w:sz w:val="24"/>
          <w:szCs w:val="24"/>
        </w:rPr>
        <w:t xml:space="preserve">hybrid working, whilst ensuring student have an ‘on campus’ experience. This is often a difficult balance to </w:t>
      </w:r>
      <w:r w:rsidR="00F27ABE" w:rsidRPr="009637BB">
        <w:rPr>
          <w:rFonts w:cstheme="minorHAnsi"/>
          <w:sz w:val="24"/>
          <w:szCs w:val="24"/>
        </w:rPr>
        <w:t>achieve and has presented a range of challenges across the organisation.</w:t>
      </w:r>
    </w:p>
    <w:p w14:paraId="6FA95066" w14:textId="006131E4" w:rsidR="0013271D" w:rsidRDefault="00264B09" w:rsidP="008516E9">
      <w:pPr>
        <w:rPr>
          <w:rFonts w:cstheme="minorHAnsi"/>
          <w:sz w:val="24"/>
          <w:szCs w:val="24"/>
        </w:rPr>
      </w:pPr>
      <w:r w:rsidRPr="00264B09">
        <w:rPr>
          <w:rFonts w:cstheme="minorHAnsi"/>
          <w:b/>
          <w:bCs/>
          <w:sz w:val="24"/>
          <w:szCs w:val="24"/>
        </w:rPr>
        <w:t>4.2</w:t>
      </w:r>
      <w:r>
        <w:rPr>
          <w:rFonts w:cstheme="minorHAnsi"/>
          <w:sz w:val="24"/>
          <w:szCs w:val="24"/>
        </w:rPr>
        <w:t xml:space="preserve"> </w:t>
      </w:r>
      <w:r w:rsidR="006D7463" w:rsidRPr="009637BB">
        <w:rPr>
          <w:rFonts w:cstheme="minorHAnsi"/>
          <w:sz w:val="24"/>
          <w:szCs w:val="24"/>
        </w:rPr>
        <w:t xml:space="preserve">In January 2023, the </w:t>
      </w:r>
      <w:r w:rsidR="00E54B9D">
        <w:rPr>
          <w:rFonts w:cstheme="minorHAnsi"/>
          <w:sz w:val="24"/>
          <w:szCs w:val="24"/>
        </w:rPr>
        <w:t>Scottish Funding Council (</w:t>
      </w:r>
      <w:r w:rsidR="006D7463" w:rsidRPr="009637BB">
        <w:rPr>
          <w:rFonts w:cstheme="minorHAnsi"/>
          <w:sz w:val="24"/>
          <w:szCs w:val="24"/>
        </w:rPr>
        <w:t>SFC</w:t>
      </w:r>
      <w:r w:rsidR="00E54B9D">
        <w:rPr>
          <w:rFonts w:cstheme="minorHAnsi"/>
          <w:sz w:val="24"/>
          <w:szCs w:val="24"/>
        </w:rPr>
        <w:t>)</w:t>
      </w:r>
      <w:r w:rsidR="006D7463" w:rsidRPr="009637BB">
        <w:rPr>
          <w:rFonts w:cstheme="minorHAnsi"/>
          <w:sz w:val="24"/>
          <w:szCs w:val="24"/>
        </w:rPr>
        <w:t xml:space="preserve"> launched their long-awaited report</w:t>
      </w:r>
      <w:r w:rsidR="001A1A65" w:rsidRPr="009637BB">
        <w:rPr>
          <w:rFonts w:cstheme="minorHAnsi"/>
          <w:sz w:val="24"/>
          <w:szCs w:val="24"/>
        </w:rPr>
        <w:t xml:space="preserve"> </w:t>
      </w:r>
      <w:hyperlink r:id="rId11" w:history="1">
        <w:r w:rsidR="001A1A65" w:rsidRPr="00124429">
          <w:rPr>
            <w:rStyle w:val="Hyperlink"/>
            <w:rFonts w:cstheme="minorHAnsi"/>
            <w:color w:val="0070C0"/>
            <w:sz w:val="24"/>
            <w:szCs w:val="24"/>
          </w:rPr>
          <w:t>Tackling Persisten</w:t>
        </w:r>
        <w:r w:rsidR="00201D9B" w:rsidRPr="00124429">
          <w:rPr>
            <w:rStyle w:val="Hyperlink"/>
            <w:rFonts w:cstheme="minorHAnsi"/>
            <w:color w:val="0070C0"/>
            <w:sz w:val="24"/>
            <w:szCs w:val="24"/>
          </w:rPr>
          <w:t>t</w:t>
        </w:r>
        <w:r w:rsidR="001A1A65" w:rsidRPr="00124429">
          <w:rPr>
            <w:rStyle w:val="Hyperlink"/>
            <w:rFonts w:cstheme="minorHAnsi"/>
            <w:color w:val="0070C0"/>
            <w:sz w:val="24"/>
            <w:szCs w:val="24"/>
          </w:rPr>
          <w:t xml:space="preserve"> Inequalities Together</w:t>
        </w:r>
      </w:hyperlink>
      <w:r w:rsidR="006D7463" w:rsidRPr="009637BB">
        <w:rPr>
          <w:rFonts w:cstheme="minorHAnsi"/>
          <w:sz w:val="24"/>
          <w:szCs w:val="24"/>
        </w:rPr>
        <w:t xml:space="preserve"> into the persistent </w:t>
      </w:r>
      <w:r w:rsidR="00616C43" w:rsidRPr="009637BB">
        <w:rPr>
          <w:rFonts w:cstheme="minorHAnsi"/>
          <w:sz w:val="24"/>
          <w:szCs w:val="24"/>
        </w:rPr>
        <w:t xml:space="preserve">inequalities across the </w:t>
      </w:r>
      <w:r w:rsidR="006F2732" w:rsidRPr="009637BB">
        <w:rPr>
          <w:rFonts w:cstheme="minorHAnsi"/>
          <w:sz w:val="24"/>
          <w:szCs w:val="24"/>
        </w:rPr>
        <w:t>tertiary</w:t>
      </w:r>
      <w:r w:rsidR="00616C43" w:rsidRPr="009637BB">
        <w:rPr>
          <w:rFonts w:cstheme="minorHAnsi"/>
          <w:sz w:val="24"/>
          <w:szCs w:val="24"/>
        </w:rPr>
        <w:t xml:space="preserve"> education sector. This report is the outcome of the M</w:t>
      </w:r>
      <w:r w:rsidR="000D318D" w:rsidRPr="009637BB">
        <w:rPr>
          <w:rFonts w:cstheme="minorHAnsi"/>
          <w:sz w:val="24"/>
          <w:szCs w:val="24"/>
        </w:rPr>
        <w:t xml:space="preserve">emorandum </w:t>
      </w:r>
      <w:r w:rsidR="00616C43" w:rsidRPr="009637BB">
        <w:rPr>
          <w:rFonts w:cstheme="minorHAnsi"/>
          <w:sz w:val="24"/>
          <w:szCs w:val="24"/>
        </w:rPr>
        <w:t>o</w:t>
      </w:r>
      <w:r w:rsidR="000D318D" w:rsidRPr="009637BB">
        <w:rPr>
          <w:rFonts w:cstheme="minorHAnsi"/>
          <w:sz w:val="24"/>
          <w:szCs w:val="24"/>
        </w:rPr>
        <w:t xml:space="preserve">f </w:t>
      </w:r>
      <w:r w:rsidR="00616C43" w:rsidRPr="009637BB">
        <w:rPr>
          <w:rFonts w:cstheme="minorHAnsi"/>
          <w:sz w:val="24"/>
          <w:szCs w:val="24"/>
        </w:rPr>
        <w:t>U</w:t>
      </w:r>
      <w:r w:rsidR="000D318D" w:rsidRPr="009637BB">
        <w:rPr>
          <w:rFonts w:cstheme="minorHAnsi"/>
          <w:sz w:val="24"/>
          <w:szCs w:val="24"/>
        </w:rPr>
        <w:t>nderstanding</w:t>
      </w:r>
      <w:r w:rsidR="00616C43" w:rsidRPr="009637BB">
        <w:rPr>
          <w:rFonts w:cstheme="minorHAnsi"/>
          <w:sz w:val="24"/>
          <w:szCs w:val="24"/>
        </w:rPr>
        <w:t xml:space="preserve"> signed </w:t>
      </w:r>
      <w:r w:rsidR="00472886" w:rsidRPr="009637BB">
        <w:rPr>
          <w:rFonts w:cstheme="minorHAnsi"/>
          <w:sz w:val="24"/>
          <w:szCs w:val="24"/>
        </w:rPr>
        <w:t>between S</w:t>
      </w:r>
      <w:r w:rsidR="00E54B9D">
        <w:rPr>
          <w:rFonts w:cstheme="minorHAnsi"/>
          <w:sz w:val="24"/>
          <w:szCs w:val="24"/>
        </w:rPr>
        <w:t>FC</w:t>
      </w:r>
      <w:r w:rsidR="00472886" w:rsidRPr="009637BB">
        <w:rPr>
          <w:rFonts w:cstheme="minorHAnsi"/>
          <w:sz w:val="24"/>
          <w:szCs w:val="24"/>
        </w:rPr>
        <w:t xml:space="preserve"> and</w:t>
      </w:r>
      <w:r w:rsidR="00616C43" w:rsidRPr="009637BB">
        <w:rPr>
          <w:rFonts w:cstheme="minorHAnsi"/>
          <w:sz w:val="24"/>
          <w:szCs w:val="24"/>
        </w:rPr>
        <w:t xml:space="preserve"> the</w:t>
      </w:r>
      <w:r w:rsidR="00155991">
        <w:rPr>
          <w:rFonts w:cstheme="minorHAnsi"/>
          <w:sz w:val="24"/>
          <w:szCs w:val="24"/>
        </w:rPr>
        <w:t xml:space="preserve"> Equality and Human Rights Commission</w:t>
      </w:r>
      <w:r w:rsidR="00616C43" w:rsidRPr="009637BB">
        <w:rPr>
          <w:rFonts w:cstheme="minorHAnsi"/>
          <w:sz w:val="24"/>
          <w:szCs w:val="24"/>
        </w:rPr>
        <w:t xml:space="preserve"> </w:t>
      </w:r>
      <w:r w:rsidR="00155991">
        <w:rPr>
          <w:rFonts w:cstheme="minorHAnsi"/>
          <w:sz w:val="24"/>
          <w:szCs w:val="24"/>
        </w:rPr>
        <w:t>(</w:t>
      </w:r>
      <w:r w:rsidR="00616C43" w:rsidRPr="009637BB">
        <w:rPr>
          <w:rFonts w:cstheme="minorHAnsi"/>
          <w:sz w:val="24"/>
          <w:szCs w:val="24"/>
        </w:rPr>
        <w:t>EHRC</w:t>
      </w:r>
      <w:r w:rsidR="00155991">
        <w:rPr>
          <w:rFonts w:cstheme="minorHAnsi"/>
          <w:sz w:val="24"/>
          <w:szCs w:val="24"/>
        </w:rPr>
        <w:t>)</w:t>
      </w:r>
      <w:r w:rsidR="00472886" w:rsidRPr="009637BB">
        <w:rPr>
          <w:rFonts w:cstheme="minorHAnsi"/>
          <w:sz w:val="24"/>
          <w:szCs w:val="24"/>
        </w:rPr>
        <w:t xml:space="preserve">. Scottish </w:t>
      </w:r>
      <w:r w:rsidR="0001627F" w:rsidRPr="009637BB">
        <w:rPr>
          <w:rFonts w:cstheme="minorHAnsi"/>
          <w:sz w:val="24"/>
          <w:szCs w:val="24"/>
        </w:rPr>
        <w:t xml:space="preserve">HE and FE organisations are now required to address </w:t>
      </w:r>
      <w:r w:rsidR="00154164" w:rsidRPr="009637BB">
        <w:rPr>
          <w:rFonts w:cstheme="minorHAnsi"/>
          <w:sz w:val="24"/>
          <w:szCs w:val="24"/>
        </w:rPr>
        <w:t>these</w:t>
      </w:r>
      <w:r w:rsidR="0001627F" w:rsidRPr="009637BB">
        <w:rPr>
          <w:rFonts w:cstheme="minorHAnsi"/>
          <w:sz w:val="24"/>
          <w:szCs w:val="24"/>
        </w:rPr>
        <w:t xml:space="preserve"> issues in their PSED Equality Outcomes, or evidence why they are not. </w:t>
      </w:r>
      <w:r w:rsidR="00F95A6A" w:rsidRPr="009637BB">
        <w:rPr>
          <w:rFonts w:cstheme="minorHAnsi"/>
          <w:sz w:val="24"/>
          <w:szCs w:val="24"/>
        </w:rPr>
        <w:t xml:space="preserve">The University of Glasgow will therefore revisit our Equality Outcomes and ensure they align with the </w:t>
      </w:r>
      <w:r w:rsidR="00A74577" w:rsidRPr="009637BB">
        <w:rPr>
          <w:rFonts w:cstheme="minorHAnsi"/>
          <w:sz w:val="24"/>
          <w:szCs w:val="24"/>
        </w:rPr>
        <w:t xml:space="preserve">SFC requirements. This will be planned within the next reporting </w:t>
      </w:r>
      <w:r w:rsidR="0080467C" w:rsidRPr="009637BB">
        <w:rPr>
          <w:rFonts w:cstheme="minorHAnsi"/>
          <w:sz w:val="24"/>
          <w:szCs w:val="24"/>
        </w:rPr>
        <w:t xml:space="preserve">cycle </w:t>
      </w:r>
      <w:r w:rsidR="008A284F">
        <w:rPr>
          <w:rFonts w:cstheme="minorHAnsi"/>
          <w:sz w:val="24"/>
          <w:szCs w:val="24"/>
        </w:rPr>
        <w:t xml:space="preserve">aiming to </w:t>
      </w:r>
      <w:r w:rsidR="00A74577" w:rsidRPr="009637BB">
        <w:rPr>
          <w:rFonts w:cstheme="minorHAnsi"/>
          <w:sz w:val="24"/>
          <w:szCs w:val="24"/>
        </w:rPr>
        <w:t xml:space="preserve">published </w:t>
      </w:r>
      <w:r w:rsidR="009637BB" w:rsidRPr="009637BB">
        <w:rPr>
          <w:rFonts w:cstheme="minorHAnsi"/>
          <w:sz w:val="24"/>
          <w:szCs w:val="24"/>
        </w:rPr>
        <w:t>in advance if possible.</w:t>
      </w:r>
    </w:p>
    <w:p w14:paraId="3CF8DE50" w14:textId="24639F21" w:rsidR="00ED4E56" w:rsidRPr="007B4A42" w:rsidRDefault="00264B09" w:rsidP="008516E9">
      <w:pPr>
        <w:rPr>
          <w:rFonts w:cstheme="minorHAnsi"/>
          <w:sz w:val="24"/>
          <w:szCs w:val="24"/>
        </w:rPr>
      </w:pPr>
      <w:r w:rsidRPr="00264B09">
        <w:rPr>
          <w:rFonts w:cstheme="minorHAnsi"/>
          <w:b/>
          <w:bCs/>
          <w:sz w:val="24"/>
          <w:szCs w:val="24"/>
        </w:rPr>
        <w:t>4.3</w:t>
      </w:r>
      <w:r>
        <w:rPr>
          <w:rFonts w:cstheme="minorHAnsi"/>
          <w:sz w:val="24"/>
          <w:szCs w:val="24"/>
        </w:rPr>
        <w:t xml:space="preserve"> </w:t>
      </w:r>
      <w:r w:rsidR="00ED4E56" w:rsidRPr="00A32F80">
        <w:rPr>
          <w:rFonts w:cstheme="minorHAnsi"/>
          <w:sz w:val="24"/>
          <w:szCs w:val="24"/>
        </w:rPr>
        <w:t>Universities UK</w:t>
      </w:r>
      <w:r w:rsidR="00924CDE" w:rsidRPr="007B4A42">
        <w:rPr>
          <w:rFonts w:cstheme="minorHAnsi"/>
          <w:sz w:val="24"/>
          <w:szCs w:val="24"/>
        </w:rPr>
        <w:t xml:space="preserve"> has published two</w:t>
      </w:r>
      <w:r w:rsidR="00ED4E56" w:rsidRPr="00A32F80">
        <w:rPr>
          <w:rFonts w:cstheme="minorHAnsi"/>
          <w:sz w:val="24"/>
          <w:szCs w:val="24"/>
        </w:rPr>
        <w:t xml:space="preserve"> reports</w:t>
      </w:r>
      <w:r w:rsidR="00787912" w:rsidRPr="007B4A42">
        <w:rPr>
          <w:rFonts w:cstheme="minorHAnsi"/>
          <w:sz w:val="24"/>
          <w:szCs w:val="24"/>
        </w:rPr>
        <w:t xml:space="preserve"> </w:t>
      </w:r>
      <w:r w:rsidR="00290FF0">
        <w:rPr>
          <w:rFonts w:cstheme="minorHAnsi"/>
          <w:sz w:val="24"/>
          <w:szCs w:val="24"/>
        </w:rPr>
        <w:t>recent relevant reports</w:t>
      </w:r>
      <w:r w:rsidR="00787912" w:rsidRPr="007B4A42">
        <w:rPr>
          <w:rFonts w:cstheme="minorHAnsi"/>
          <w:sz w:val="24"/>
          <w:szCs w:val="24"/>
        </w:rPr>
        <w:t xml:space="preserve"> one on Islamophobia</w:t>
      </w:r>
      <w:r w:rsidR="00F76794" w:rsidRPr="007B4A42">
        <w:rPr>
          <w:rStyle w:val="FootnoteReference"/>
          <w:rFonts w:cstheme="minorHAnsi"/>
          <w:sz w:val="24"/>
          <w:szCs w:val="24"/>
        </w:rPr>
        <w:footnoteReference w:id="4"/>
      </w:r>
      <w:r w:rsidR="00787912" w:rsidRPr="007B4A42">
        <w:rPr>
          <w:rFonts w:cstheme="minorHAnsi"/>
          <w:sz w:val="24"/>
          <w:szCs w:val="24"/>
        </w:rPr>
        <w:t xml:space="preserve"> and the other on Anti</w:t>
      </w:r>
      <w:r w:rsidR="00ED4E56" w:rsidRPr="00A32F80">
        <w:rPr>
          <w:rFonts w:cstheme="minorHAnsi"/>
          <w:sz w:val="24"/>
          <w:szCs w:val="24"/>
        </w:rPr>
        <w:t>semitism</w:t>
      </w:r>
      <w:r w:rsidR="007B4A42" w:rsidRPr="007B4A42">
        <w:rPr>
          <w:rStyle w:val="FootnoteReference"/>
          <w:rFonts w:cstheme="minorHAnsi"/>
          <w:sz w:val="24"/>
          <w:szCs w:val="24"/>
        </w:rPr>
        <w:footnoteReference w:id="5"/>
      </w:r>
      <w:r w:rsidR="003B73E4" w:rsidRPr="007B4A42">
        <w:rPr>
          <w:rFonts w:cstheme="minorHAnsi"/>
          <w:sz w:val="24"/>
          <w:szCs w:val="24"/>
        </w:rPr>
        <w:t>. These reports are welcome, and are given due consideration by the relevant Cham</w:t>
      </w:r>
      <w:r w:rsidR="00FB1A92" w:rsidRPr="007B4A42">
        <w:rPr>
          <w:rFonts w:cstheme="minorHAnsi"/>
          <w:sz w:val="24"/>
          <w:szCs w:val="24"/>
        </w:rPr>
        <w:t xml:space="preserve">pion, working group or </w:t>
      </w:r>
      <w:r w:rsidR="006039C0" w:rsidRPr="007B4A42">
        <w:rPr>
          <w:rFonts w:cstheme="minorHAnsi"/>
          <w:sz w:val="24"/>
          <w:szCs w:val="24"/>
        </w:rPr>
        <w:t>area. Responding appropriately to these report</w:t>
      </w:r>
      <w:r w:rsidR="004333CD" w:rsidRPr="007B4A42">
        <w:rPr>
          <w:rFonts w:cstheme="minorHAnsi"/>
          <w:sz w:val="24"/>
          <w:szCs w:val="24"/>
        </w:rPr>
        <w:t>s requires discussion with identified students and colleagues, which are ongoing.</w:t>
      </w:r>
      <w:r w:rsidR="003B73E4" w:rsidRPr="007B4A42">
        <w:rPr>
          <w:rFonts w:cstheme="minorHAnsi"/>
          <w:sz w:val="24"/>
          <w:szCs w:val="24"/>
        </w:rPr>
        <w:t xml:space="preserve"> </w:t>
      </w:r>
    </w:p>
    <w:bookmarkEnd w:id="0"/>
    <w:p w14:paraId="437B6C76" w14:textId="48ABC7F0" w:rsidR="00C705EC" w:rsidRPr="00EF7076" w:rsidRDefault="00393AB5" w:rsidP="006C075C">
      <w:pPr>
        <w:pStyle w:val="Heading1"/>
      </w:pPr>
      <w:r w:rsidRPr="00EF7076">
        <w:lastRenderedPageBreak/>
        <w:t xml:space="preserve">5. </w:t>
      </w:r>
      <w:r w:rsidR="00C705EC" w:rsidRPr="00EF7076">
        <w:t>Challenges and Opportunities</w:t>
      </w:r>
    </w:p>
    <w:p w14:paraId="19E2C4E2" w14:textId="155E2B95" w:rsidR="006A47CE" w:rsidRPr="00EF7076" w:rsidRDefault="00FC4305" w:rsidP="00D2391A">
      <w:pPr>
        <w:rPr>
          <w:rFonts w:cstheme="minorHAnsi"/>
          <w:sz w:val="24"/>
          <w:szCs w:val="24"/>
        </w:rPr>
      </w:pPr>
      <w:bookmarkStart w:id="1" w:name="_Hlk69745561"/>
      <w:r w:rsidRPr="00FC4305">
        <w:rPr>
          <w:rFonts w:cstheme="minorHAnsi"/>
          <w:b/>
          <w:bCs/>
          <w:sz w:val="24"/>
          <w:szCs w:val="24"/>
        </w:rPr>
        <w:t>5.1</w:t>
      </w:r>
      <w:r>
        <w:rPr>
          <w:rFonts w:cstheme="minorHAnsi"/>
          <w:sz w:val="24"/>
          <w:szCs w:val="24"/>
        </w:rPr>
        <w:t xml:space="preserve"> </w:t>
      </w:r>
      <w:r w:rsidR="00703567" w:rsidRPr="00EF7076">
        <w:rPr>
          <w:rFonts w:cstheme="minorHAnsi"/>
          <w:sz w:val="24"/>
          <w:szCs w:val="24"/>
        </w:rPr>
        <w:t xml:space="preserve">In </w:t>
      </w:r>
      <w:r w:rsidR="001F0BB4" w:rsidRPr="00EF7076">
        <w:rPr>
          <w:rFonts w:cstheme="minorHAnsi"/>
          <w:sz w:val="24"/>
          <w:szCs w:val="24"/>
        </w:rPr>
        <w:t>October 2021, the Principal announced an independent investigation into gender</w:t>
      </w:r>
      <w:r w:rsidR="00FA1871" w:rsidRPr="00EF7076">
        <w:rPr>
          <w:rFonts w:cstheme="minorHAnsi"/>
          <w:sz w:val="24"/>
          <w:szCs w:val="24"/>
        </w:rPr>
        <w:t xml:space="preserve">-based </w:t>
      </w:r>
      <w:r w:rsidR="000057C9" w:rsidRPr="00EF7076">
        <w:rPr>
          <w:rFonts w:cstheme="minorHAnsi"/>
          <w:sz w:val="24"/>
          <w:szCs w:val="24"/>
        </w:rPr>
        <w:t>violence</w:t>
      </w:r>
      <w:r w:rsidR="00DF54DE">
        <w:rPr>
          <w:rFonts w:cstheme="minorHAnsi"/>
          <w:sz w:val="24"/>
          <w:szCs w:val="24"/>
        </w:rPr>
        <w:t xml:space="preserve"> on campus</w:t>
      </w:r>
      <w:r w:rsidR="006A47CE" w:rsidRPr="00EF7076">
        <w:rPr>
          <w:rFonts w:cstheme="minorHAnsi"/>
          <w:sz w:val="24"/>
          <w:szCs w:val="24"/>
        </w:rPr>
        <w:t xml:space="preserve">. Morag Ross </w:t>
      </w:r>
      <w:r w:rsidR="00007019" w:rsidRPr="00EF7076">
        <w:rPr>
          <w:rFonts w:cstheme="minorHAnsi"/>
          <w:sz w:val="24"/>
          <w:szCs w:val="24"/>
        </w:rPr>
        <w:t>KC</w:t>
      </w:r>
      <w:r w:rsidR="006A47CE" w:rsidRPr="00EF7076">
        <w:rPr>
          <w:rFonts w:cstheme="minorHAnsi"/>
          <w:sz w:val="24"/>
          <w:szCs w:val="24"/>
        </w:rPr>
        <w:t xml:space="preserve"> was instructed to conduct a </w:t>
      </w:r>
      <w:r w:rsidR="007005C4" w:rsidRPr="00EF7076">
        <w:rPr>
          <w:rFonts w:cstheme="minorHAnsi"/>
          <w:sz w:val="24"/>
          <w:szCs w:val="24"/>
        </w:rPr>
        <w:t>wide-ranging</w:t>
      </w:r>
      <w:r w:rsidR="006A47CE" w:rsidRPr="00EF7076">
        <w:rPr>
          <w:rFonts w:cstheme="minorHAnsi"/>
          <w:sz w:val="24"/>
          <w:szCs w:val="24"/>
        </w:rPr>
        <w:t xml:space="preserve"> investigation based on the following scope:</w:t>
      </w:r>
    </w:p>
    <w:p w14:paraId="5C83FCF2" w14:textId="77777777" w:rsidR="006A7C8B" w:rsidRPr="00EF7076" w:rsidRDefault="006A7C8B" w:rsidP="006A7C8B">
      <w:pPr>
        <w:pStyle w:val="ListParagraph"/>
        <w:numPr>
          <w:ilvl w:val="0"/>
          <w:numId w:val="14"/>
        </w:numPr>
        <w:rPr>
          <w:rFonts w:cstheme="minorHAnsi"/>
          <w:sz w:val="24"/>
          <w:szCs w:val="24"/>
        </w:rPr>
      </w:pPr>
      <w:r w:rsidRPr="00EF7076">
        <w:rPr>
          <w:rFonts w:cstheme="minorHAnsi"/>
          <w:sz w:val="24"/>
          <w:szCs w:val="24"/>
        </w:rPr>
        <w:t>What policies, procedures and support arrangements are in place in the University which address gender-based violence, both in preventing it and in dealing with it when it arises?</w:t>
      </w:r>
    </w:p>
    <w:p w14:paraId="4E8BC2B4" w14:textId="4CF9C6F0" w:rsidR="006A7C8B" w:rsidRPr="00EF7076" w:rsidRDefault="006A7C8B" w:rsidP="006A7C8B">
      <w:pPr>
        <w:pStyle w:val="ListParagraph"/>
        <w:numPr>
          <w:ilvl w:val="0"/>
          <w:numId w:val="14"/>
        </w:numPr>
        <w:rPr>
          <w:rFonts w:cstheme="minorHAnsi"/>
          <w:sz w:val="24"/>
          <w:szCs w:val="24"/>
        </w:rPr>
      </w:pPr>
      <w:r w:rsidRPr="00EF7076">
        <w:rPr>
          <w:rFonts w:cstheme="minorHAnsi"/>
          <w:sz w:val="24"/>
          <w:szCs w:val="24"/>
        </w:rPr>
        <w:t xml:space="preserve">How effective are the University’s policies, </w:t>
      </w:r>
      <w:r w:rsidR="00CB7763" w:rsidRPr="00EF7076">
        <w:rPr>
          <w:rFonts w:cstheme="minorHAnsi"/>
          <w:sz w:val="24"/>
          <w:szCs w:val="24"/>
        </w:rPr>
        <w:t>procedures,</w:t>
      </w:r>
      <w:r w:rsidRPr="00EF7076">
        <w:rPr>
          <w:rFonts w:cstheme="minorHAnsi"/>
          <w:sz w:val="24"/>
          <w:szCs w:val="24"/>
        </w:rPr>
        <w:t xml:space="preserve"> and support arrangements in dealing with complaints and concerns related to gender-based violence?</w:t>
      </w:r>
    </w:p>
    <w:p w14:paraId="62B957B8" w14:textId="008D4CC5" w:rsidR="006A7C8B" w:rsidRPr="00EF7076" w:rsidRDefault="006A7C8B" w:rsidP="006A7C8B">
      <w:pPr>
        <w:pStyle w:val="ListParagraph"/>
        <w:numPr>
          <w:ilvl w:val="0"/>
          <w:numId w:val="14"/>
        </w:numPr>
        <w:rPr>
          <w:rFonts w:cstheme="minorHAnsi"/>
          <w:sz w:val="24"/>
          <w:szCs w:val="24"/>
        </w:rPr>
      </w:pPr>
      <w:r w:rsidRPr="00EF7076">
        <w:rPr>
          <w:rFonts w:cstheme="minorHAnsi"/>
          <w:sz w:val="24"/>
          <w:szCs w:val="24"/>
        </w:rPr>
        <w:t xml:space="preserve">What improvements might be made to the University’s policies, </w:t>
      </w:r>
      <w:r w:rsidR="00CB7763" w:rsidRPr="00EF7076">
        <w:rPr>
          <w:rFonts w:cstheme="minorHAnsi"/>
          <w:sz w:val="24"/>
          <w:szCs w:val="24"/>
        </w:rPr>
        <w:t>procedures,</w:t>
      </w:r>
      <w:r w:rsidRPr="00EF7076">
        <w:rPr>
          <w:rFonts w:cstheme="minorHAnsi"/>
          <w:sz w:val="24"/>
          <w:szCs w:val="24"/>
        </w:rPr>
        <w:t xml:space="preserve"> and support arrangements in responding to gender-based violence?</w:t>
      </w:r>
    </w:p>
    <w:p w14:paraId="7B670FFF" w14:textId="77777777" w:rsidR="006A7C8B" w:rsidRPr="00EF7076" w:rsidRDefault="006A7C8B" w:rsidP="006A7C8B">
      <w:pPr>
        <w:pStyle w:val="ListParagraph"/>
        <w:numPr>
          <w:ilvl w:val="0"/>
          <w:numId w:val="14"/>
        </w:numPr>
        <w:rPr>
          <w:rFonts w:cstheme="minorHAnsi"/>
          <w:sz w:val="24"/>
          <w:szCs w:val="24"/>
        </w:rPr>
      </w:pPr>
      <w:r w:rsidRPr="00EF7076">
        <w:rPr>
          <w:rFonts w:cstheme="minorHAnsi"/>
          <w:sz w:val="24"/>
          <w:szCs w:val="24"/>
        </w:rPr>
        <w:t>What improvements might be made with a view to reducing gender-based violence?</w:t>
      </w:r>
    </w:p>
    <w:p w14:paraId="462FEA73" w14:textId="186511E4" w:rsidR="006A7C8B" w:rsidRPr="00EF7076" w:rsidRDefault="006A7C8B" w:rsidP="006A7C8B">
      <w:pPr>
        <w:pStyle w:val="ListParagraph"/>
        <w:numPr>
          <w:ilvl w:val="0"/>
          <w:numId w:val="14"/>
        </w:numPr>
        <w:rPr>
          <w:rFonts w:cstheme="minorHAnsi"/>
          <w:sz w:val="24"/>
          <w:szCs w:val="24"/>
        </w:rPr>
      </w:pPr>
      <w:r w:rsidRPr="00EF7076">
        <w:rPr>
          <w:rFonts w:cstheme="minorHAnsi"/>
          <w:sz w:val="24"/>
          <w:szCs w:val="24"/>
        </w:rPr>
        <w:t xml:space="preserve">To what extent do students and colleagues have confidence in the University’s policies, </w:t>
      </w:r>
      <w:r w:rsidR="00CB7763" w:rsidRPr="00EF7076">
        <w:rPr>
          <w:rFonts w:cstheme="minorHAnsi"/>
          <w:sz w:val="24"/>
          <w:szCs w:val="24"/>
        </w:rPr>
        <w:t>procedures,</w:t>
      </w:r>
      <w:r w:rsidRPr="00EF7076">
        <w:rPr>
          <w:rFonts w:cstheme="minorHAnsi"/>
          <w:sz w:val="24"/>
          <w:szCs w:val="24"/>
        </w:rPr>
        <w:t xml:space="preserve"> and support arrangements in relation to gender-based violence?</w:t>
      </w:r>
    </w:p>
    <w:p w14:paraId="44250784" w14:textId="2989CB97" w:rsidR="00D2391A" w:rsidRPr="00EF7076" w:rsidRDefault="007005C4" w:rsidP="006A7C8B">
      <w:pPr>
        <w:rPr>
          <w:rFonts w:cstheme="minorHAnsi"/>
          <w:sz w:val="24"/>
          <w:szCs w:val="24"/>
        </w:rPr>
      </w:pPr>
      <w:r w:rsidRPr="00EF7076">
        <w:rPr>
          <w:rFonts w:cstheme="minorHAnsi"/>
          <w:sz w:val="24"/>
          <w:szCs w:val="24"/>
        </w:rPr>
        <w:t>Morag Ross KC delivered her r</w:t>
      </w:r>
      <w:r w:rsidR="00007019" w:rsidRPr="00EF7076">
        <w:rPr>
          <w:rFonts w:cstheme="minorHAnsi"/>
          <w:sz w:val="24"/>
          <w:szCs w:val="24"/>
        </w:rPr>
        <w:t>eport</w:t>
      </w:r>
      <w:r w:rsidR="00077500" w:rsidRPr="00EF7076">
        <w:rPr>
          <w:rFonts w:cstheme="minorHAnsi"/>
          <w:sz w:val="24"/>
          <w:szCs w:val="24"/>
        </w:rPr>
        <w:t xml:space="preserve"> </w:t>
      </w:r>
      <w:hyperlink r:id="rId12" w:history="1">
        <w:r w:rsidR="00077500" w:rsidRPr="00124429">
          <w:rPr>
            <w:rStyle w:val="Hyperlink"/>
            <w:rFonts w:cstheme="minorHAnsi"/>
            <w:color w:val="0070C0"/>
            <w:sz w:val="24"/>
            <w:szCs w:val="24"/>
          </w:rPr>
          <w:t>Independent review of the University's approach to addressing Gender-Based Violence</w:t>
        </w:r>
      </w:hyperlink>
      <w:r w:rsidR="00077500" w:rsidRPr="00EF7076">
        <w:rPr>
          <w:rFonts w:cstheme="minorHAnsi"/>
          <w:sz w:val="24"/>
          <w:szCs w:val="24"/>
        </w:rPr>
        <w:t xml:space="preserve"> in November 2022, and it was published to the University community in December 2022. </w:t>
      </w:r>
      <w:r w:rsidR="004E6A0B" w:rsidRPr="00EF7076">
        <w:rPr>
          <w:rFonts w:cstheme="minorHAnsi"/>
          <w:sz w:val="24"/>
          <w:szCs w:val="24"/>
        </w:rPr>
        <w:t xml:space="preserve">This was a significant report for the </w:t>
      </w:r>
      <w:r w:rsidR="00696124" w:rsidRPr="00EF7076">
        <w:rPr>
          <w:rFonts w:cstheme="minorHAnsi"/>
          <w:sz w:val="24"/>
          <w:szCs w:val="24"/>
        </w:rPr>
        <w:t>University and</w:t>
      </w:r>
      <w:r w:rsidR="00F5676B" w:rsidRPr="00EF7076">
        <w:rPr>
          <w:rFonts w:cstheme="minorHAnsi"/>
          <w:sz w:val="24"/>
          <w:szCs w:val="24"/>
        </w:rPr>
        <w:t xml:space="preserve"> outline</w:t>
      </w:r>
      <w:r w:rsidR="00696124">
        <w:rPr>
          <w:rFonts w:cstheme="minorHAnsi"/>
          <w:sz w:val="24"/>
          <w:szCs w:val="24"/>
        </w:rPr>
        <w:t>s</w:t>
      </w:r>
      <w:r w:rsidR="00F5676B" w:rsidRPr="00EF7076">
        <w:rPr>
          <w:rFonts w:cstheme="minorHAnsi"/>
          <w:sz w:val="24"/>
          <w:szCs w:val="24"/>
        </w:rPr>
        <w:t xml:space="preserve"> 16 recommend</w:t>
      </w:r>
      <w:r w:rsidR="00B11D80" w:rsidRPr="00EF7076">
        <w:rPr>
          <w:rFonts w:cstheme="minorHAnsi"/>
          <w:sz w:val="24"/>
          <w:szCs w:val="24"/>
        </w:rPr>
        <w:t>ations for improving practice across the organisations, which have been accepted in full.</w:t>
      </w:r>
    </w:p>
    <w:p w14:paraId="10B6ABF5" w14:textId="1C065DA2" w:rsidR="006C0ACE" w:rsidRPr="00EF7076" w:rsidRDefault="00FC4305" w:rsidP="00D2391A">
      <w:pPr>
        <w:rPr>
          <w:rFonts w:cstheme="minorHAnsi"/>
          <w:sz w:val="24"/>
          <w:szCs w:val="24"/>
        </w:rPr>
      </w:pPr>
      <w:r w:rsidRPr="00FC4305">
        <w:rPr>
          <w:rFonts w:cstheme="minorHAnsi"/>
          <w:b/>
          <w:bCs/>
          <w:sz w:val="24"/>
          <w:szCs w:val="24"/>
        </w:rPr>
        <w:t>5.2</w:t>
      </w:r>
      <w:r>
        <w:rPr>
          <w:rFonts w:cstheme="minorHAnsi"/>
          <w:sz w:val="24"/>
          <w:szCs w:val="24"/>
        </w:rPr>
        <w:t xml:space="preserve"> The </w:t>
      </w:r>
      <w:r w:rsidR="006C0ACE" w:rsidRPr="00EF7076">
        <w:rPr>
          <w:rFonts w:cstheme="minorHAnsi"/>
          <w:sz w:val="24"/>
          <w:szCs w:val="24"/>
        </w:rPr>
        <w:t>Mazumdar-Shaw Advanced Research Centre</w:t>
      </w:r>
      <w:r w:rsidR="00641B74" w:rsidRPr="00EF7076">
        <w:rPr>
          <w:rFonts w:cstheme="minorHAnsi"/>
          <w:sz w:val="24"/>
          <w:szCs w:val="24"/>
        </w:rPr>
        <w:t xml:space="preserve"> (ARC)</w:t>
      </w:r>
      <w:r w:rsidR="00123C5D">
        <w:rPr>
          <w:rFonts w:cstheme="minorHAnsi"/>
          <w:sz w:val="24"/>
          <w:szCs w:val="24"/>
        </w:rPr>
        <w:t xml:space="preserve"> building</w:t>
      </w:r>
      <w:r w:rsidR="006C0ACE" w:rsidRPr="00EF7076">
        <w:rPr>
          <w:rFonts w:cstheme="minorHAnsi"/>
          <w:sz w:val="24"/>
          <w:szCs w:val="24"/>
        </w:rPr>
        <w:t xml:space="preserve"> was opened on campus in 2022</w:t>
      </w:r>
      <w:r w:rsidR="00641B74" w:rsidRPr="00EF7076">
        <w:rPr>
          <w:rFonts w:cstheme="minorHAnsi"/>
          <w:sz w:val="24"/>
          <w:szCs w:val="24"/>
        </w:rPr>
        <w:t>. The ARC will help facilitate collaborations across disciplines, allowing colleagues from different research areas to share space and meet people with new ideas and interests.</w:t>
      </w:r>
      <w:r w:rsidR="003D399E" w:rsidRPr="00EF7076">
        <w:rPr>
          <w:rFonts w:cstheme="minorHAnsi"/>
          <w:sz w:val="24"/>
          <w:szCs w:val="24"/>
        </w:rPr>
        <w:t xml:space="preserve"> </w:t>
      </w:r>
      <w:r w:rsidR="0081660F" w:rsidRPr="00EF7076">
        <w:rPr>
          <w:rFonts w:cstheme="minorHAnsi"/>
          <w:sz w:val="24"/>
          <w:szCs w:val="24"/>
        </w:rPr>
        <w:t>Professor David MacMillan (BSc 1989), winner of the Nobel Prize in Chemistry 2021,</w:t>
      </w:r>
      <w:r w:rsidR="003D399E" w:rsidRPr="00EF7076">
        <w:rPr>
          <w:rFonts w:cstheme="minorHAnsi"/>
          <w:sz w:val="24"/>
          <w:szCs w:val="24"/>
        </w:rPr>
        <w:t xml:space="preserve"> opened the building by </w:t>
      </w:r>
      <w:r w:rsidR="0081660F" w:rsidRPr="00EF7076">
        <w:rPr>
          <w:rFonts w:cstheme="minorHAnsi"/>
          <w:sz w:val="24"/>
          <w:szCs w:val="24"/>
        </w:rPr>
        <w:t>shar</w:t>
      </w:r>
      <w:r w:rsidR="003D399E" w:rsidRPr="00EF7076">
        <w:rPr>
          <w:rFonts w:cstheme="minorHAnsi"/>
          <w:sz w:val="24"/>
          <w:szCs w:val="24"/>
        </w:rPr>
        <w:t>ing</w:t>
      </w:r>
      <w:r w:rsidR="0081660F" w:rsidRPr="00EF7076">
        <w:rPr>
          <w:rFonts w:cstheme="minorHAnsi"/>
          <w:sz w:val="24"/>
          <w:szCs w:val="24"/>
        </w:rPr>
        <w:t xml:space="preserve"> his inspirational journey from humble beginnings as a boy in Bellshill to Princeton Professor and Nobel Laureate.</w:t>
      </w:r>
    </w:p>
    <w:p w14:paraId="63BAC09D" w14:textId="3BD8B8FC" w:rsidR="00007019" w:rsidRPr="00EF7076" w:rsidRDefault="00DE1F17" w:rsidP="00D2391A">
      <w:pPr>
        <w:rPr>
          <w:rFonts w:cstheme="minorHAnsi"/>
          <w:sz w:val="24"/>
          <w:szCs w:val="24"/>
        </w:rPr>
      </w:pPr>
      <w:r w:rsidRPr="00DE1F17">
        <w:rPr>
          <w:rFonts w:cstheme="minorHAnsi"/>
          <w:b/>
          <w:bCs/>
          <w:sz w:val="24"/>
          <w:szCs w:val="24"/>
        </w:rPr>
        <w:t>5.3</w:t>
      </w:r>
      <w:r>
        <w:rPr>
          <w:rFonts w:cstheme="minorHAnsi"/>
          <w:sz w:val="24"/>
          <w:szCs w:val="24"/>
        </w:rPr>
        <w:t xml:space="preserve"> </w:t>
      </w:r>
      <w:r w:rsidR="00E8543E" w:rsidRPr="00EF7076">
        <w:rPr>
          <w:rFonts w:cstheme="minorHAnsi"/>
          <w:sz w:val="24"/>
          <w:szCs w:val="24"/>
        </w:rPr>
        <w:t xml:space="preserve">Whilst there are always ongoing restructuring </w:t>
      </w:r>
      <w:r w:rsidR="009D3714" w:rsidRPr="00EF7076">
        <w:rPr>
          <w:rFonts w:cstheme="minorHAnsi"/>
          <w:sz w:val="24"/>
          <w:szCs w:val="24"/>
        </w:rPr>
        <w:t>exercises</w:t>
      </w:r>
      <w:r w:rsidR="00E8543E" w:rsidRPr="00EF7076">
        <w:rPr>
          <w:rFonts w:cstheme="minorHAnsi"/>
          <w:sz w:val="24"/>
          <w:szCs w:val="24"/>
        </w:rPr>
        <w:t xml:space="preserve"> across large complex </w:t>
      </w:r>
      <w:r w:rsidR="00BB4FAA" w:rsidRPr="00EF7076">
        <w:rPr>
          <w:rFonts w:cstheme="minorHAnsi"/>
          <w:sz w:val="24"/>
          <w:szCs w:val="24"/>
        </w:rPr>
        <w:t>organisations, two significant restructures have taken place in the last two years – these have included a restructure of Facilities Services</w:t>
      </w:r>
      <w:r w:rsidR="003D07E0" w:rsidRPr="00EF7076">
        <w:rPr>
          <w:rFonts w:cstheme="minorHAnsi"/>
          <w:sz w:val="24"/>
          <w:szCs w:val="24"/>
        </w:rPr>
        <w:t xml:space="preserve"> and the College of Medical Veter</w:t>
      </w:r>
      <w:r w:rsidR="004E2A86" w:rsidRPr="00EF7076">
        <w:rPr>
          <w:rFonts w:cstheme="minorHAnsi"/>
          <w:sz w:val="24"/>
          <w:szCs w:val="24"/>
        </w:rPr>
        <w:t xml:space="preserve">inary and Life Sciences. Within Facilities Services, the aims </w:t>
      </w:r>
      <w:r w:rsidR="00FD05C0" w:rsidRPr="00EF7076">
        <w:rPr>
          <w:rFonts w:cstheme="minorHAnsi"/>
          <w:sz w:val="24"/>
          <w:szCs w:val="24"/>
        </w:rPr>
        <w:t>were</w:t>
      </w:r>
      <w:r w:rsidR="004E2A86" w:rsidRPr="00EF7076">
        <w:rPr>
          <w:rFonts w:cstheme="minorHAnsi"/>
          <w:sz w:val="24"/>
          <w:szCs w:val="24"/>
        </w:rPr>
        <w:t xml:space="preserve"> to </w:t>
      </w:r>
      <w:r w:rsidR="00B94FEA" w:rsidRPr="00EF7076">
        <w:rPr>
          <w:rFonts w:cstheme="minorHAnsi"/>
          <w:sz w:val="24"/>
          <w:szCs w:val="24"/>
        </w:rPr>
        <w:t>create new roles which had wider responsibilities and took a zonal approach to covering the campus. This had been in a pilot stage in the new James McCune Smith Learning and Teaching Hub</w:t>
      </w:r>
      <w:r w:rsidR="00C7466D" w:rsidRPr="00EF7076">
        <w:rPr>
          <w:rFonts w:cstheme="minorHAnsi"/>
          <w:sz w:val="24"/>
          <w:szCs w:val="24"/>
        </w:rPr>
        <w:t xml:space="preserve">. </w:t>
      </w:r>
      <w:r w:rsidR="0015012B" w:rsidRPr="00EF7076">
        <w:rPr>
          <w:rFonts w:cstheme="minorHAnsi"/>
          <w:sz w:val="24"/>
          <w:szCs w:val="24"/>
        </w:rPr>
        <w:t xml:space="preserve">It was also a key driver in addressing identified occupational segregation </w:t>
      </w:r>
      <w:r w:rsidR="008410A7" w:rsidRPr="00EF7076">
        <w:rPr>
          <w:rFonts w:cstheme="minorHAnsi"/>
          <w:sz w:val="24"/>
          <w:szCs w:val="24"/>
        </w:rPr>
        <w:t>within this job role</w:t>
      </w:r>
      <w:r w:rsidR="00A34A33">
        <w:rPr>
          <w:rFonts w:cstheme="minorHAnsi"/>
          <w:sz w:val="24"/>
          <w:szCs w:val="24"/>
        </w:rPr>
        <w:t>.</w:t>
      </w:r>
      <w:r w:rsidR="00833614" w:rsidRPr="00EF7076">
        <w:rPr>
          <w:rFonts w:cstheme="minorHAnsi"/>
          <w:sz w:val="24"/>
          <w:szCs w:val="24"/>
        </w:rPr>
        <w:t xml:space="preserve"> Further work is currently in planning to take a wider look at the pay and grading structures, with the aim of also address some identified issues from this reorganisation. The r</w:t>
      </w:r>
      <w:r w:rsidR="009765C6" w:rsidRPr="00EF7076">
        <w:rPr>
          <w:rFonts w:cstheme="minorHAnsi"/>
          <w:sz w:val="24"/>
          <w:szCs w:val="24"/>
        </w:rPr>
        <w:t>estructure of</w:t>
      </w:r>
      <w:r w:rsidR="00833614" w:rsidRPr="00EF7076">
        <w:rPr>
          <w:rFonts w:cstheme="minorHAnsi"/>
          <w:sz w:val="24"/>
          <w:szCs w:val="24"/>
        </w:rPr>
        <w:t xml:space="preserve"> the College of </w:t>
      </w:r>
      <w:r w:rsidR="002B12FB" w:rsidRPr="00EF7076">
        <w:rPr>
          <w:rFonts w:cstheme="minorHAnsi"/>
          <w:sz w:val="24"/>
          <w:szCs w:val="24"/>
        </w:rPr>
        <w:t>MVLS</w:t>
      </w:r>
      <w:r w:rsidR="00833614" w:rsidRPr="00EF7076">
        <w:rPr>
          <w:rFonts w:cstheme="minorHAnsi"/>
          <w:sz w:val="24"/>
          <w:szCs w:val="24"/>
        </w:rPr>
        <w:t xml:space="preserve"> had the aim of aligning the research </w:t>
      </w:r>
      <w:r w:rsidR="009D3714" w:rsidRPr="00EF7076">
        <w:rPr>
          <w:rFonts w:cstheme="minorHAnsi"/>
          <w:sz w:val="24"/>
          <w:szCs w:val="24"/>
        </w:rPr>
        <w:t xml:space="preserve">institutes with the teaching schools. </w:t>
      </w:r>
      <w:r w:rsidR="00895941" w:rsidRPr="00EF7076">
        <w:rPr>
          <w:rFonts w:cstheme="minorHAnsi"/>
          <w:sz w:val="24"/>
          <w:szCs w:val="24"/>
        </w:rPr>
        <w:t>This ensured our students have access to the most recent research in their schools and move to the structure form 10</w:t>
      </w:r>
      <w:r w:rsidR="00FD05C0" w:rsidRPr="00EF7076">
        <w:rPr>
          <w:rFonts w:cstheme="minorHAnsi"/>
          <w:sz w:val="24"/>
          <w:szCs w:val="24"/>
        </w:rPr>
        <w:t xml:space="preserve"> units to eight schools, with no redundancies.</w:t>
      </w:r>
    </w:p>
    <w:p w14:paraId="3B656CB7" w14:textId="71874B6A" w:rsidR="009765C6" w:rsidRPr="00EF7076" w:rsidRDefault="00740EBE" w:rsidP="00D2391A">
      <w:pPr>
        <w:rPr>
          <w:rFonts w:cstheme="minorHAnsi"/>
          <w:sz w:val="24"/>
          <w:szCs w:val="24"/>
        </w:rPr>
      </w:pPr>
      <w:r w:rsidRPr="00740EBE">
        <w:rPr>
          <w:rFonts w:cstheme="minorHAnsi"/>
          <w:b/>
          <w:bCs/>
          <w:sz w:val="24"/>
          <w:szCs w:val="24"/>
        </w:rPr>
        <w:t>5.4</w:t>
      </w:r>
      <w:r>
        <w:rPr>
          <w:rFonts w:cstheme="minorHAnsi"/>
          <w:sz w:val="24"/>
          <w:szCs w:val="24"/>
        </w:rPr>
        <w:t xml:space="preserve"> </w:t>
      </w:r>
      <w:r w:rsidR="0084788D" w:rsidRPr="00EF7076">
        <w:rPr>
          <w:rFonts w:cstheme="minorHAnsi"/>
          <w:sz w:val="24"/>
          <w:szCs w:val="24"/>
        </w:rPr>
        <w:t xml:space="preserve">The University has grown </w:t>
      </w:r>
      <w:r w:rsidR="00EC0728" w:rsidRPr="00EF7076">
        <w:rPr>
          <w:rFonts w:cstheme="minorHAnsi"/>
          <w:sz w:val="24"/>
          <w:szCs w:val="24"/>
        </w:rPr>
        <w:t>its</w:t>
      </w:r>
      <w:r w:rsidR="0084788D" w:rsidRPr="00EF7076">
        <w:rPr>
          <w:rFonts w:cstheme="minorHAnsi"/>
          <w:sz w:val="24"/>
          <w:szCs w:val="24"/>
        </w:rPr>
        <w:t xml:space="preserve"> student numbers extensively over </w:t>
      </w:r>
      <w:r w:rsidRPr="00EF7076">
        <w:rPr>
          <w:rFonts w:cstheme="minorHAnsi"/>
          <w:sz w:val="24"/>
          <w:szCs w:val="24"/>
        </w:rPr>
        <w:t>several</w:t>
      </w:r>
      <w:r w:rsidR="00EC0728" w:rsidRPr="00EF7076">
        <w:rPr>
          <w:rFonts w:cstheme="minorHAnsi"/>
          <w:sz w:val="24"/>
          <w:szCs w:val="24"/>
        </w:rPr>
        <w:t xml:space="preserve"> years</w:t>
      </w:r>
      <w:r w:rsidR="0084788D" w:rsidRPr="00EF7076">
        <w:rPr>
          <w:rFonts w:cstheme="minorHAnsi"/>
          <w:sz w:val="24"/>
          <w:szCs w:val="24"/>
        </w:rPr>
        <w:t xml:space="preserve">, and with the return to campus this has compounded a </w:t>
      </w:r>
      <w:r w:rsidR="007A29B4">
        <w:rPr>
          <w:rFonts w:cstheme="minorHAnsi"/>
          <w:sz w:val="24"/>
          <w:szCs w:val="24"/>
        </w:rPr>
        <w:t xml:space="preserve">complex </w:t>
      </w:r>
      <w:r w:rsidR="00590364">
        <w:rPr>
          <w:rFonts w:cstheme="minorHAnsi"/>
          <w:sz w:val="24"/>
          <w:szCs w:val="24"/>
        </w:rPr>
        <w:t>concern</w:t>
      </w:r>
      <w:r w:rsidR="00EC0728" w:rsidRPr="00EF7076">
        <w:rPr>
          <w:rFonts w:cstheme="minorHAnsi"/>
          <w:sz w:val="24"/>
          <w:szCs w:val="24"/>
        </w:rPr>
        <w:t xml:space="preserve"> with the estate and </w:t>
      </w:r>
      <w:r w:rsidR="00EC0728" w:rsidRPr="00EF7076">
        <w:rPr>
          <w:rFonts w:cstheme="minorHAnsi"/>
          <w:sz w:val="24"/>
          <w:szCs w:val="24"/>
        </w:rPr>
        <w:lastRenderedPageBreak/>
        <w:t>maximis</w:t>
      </w:r>
      <w:r w:rsidR="00CC4F18">
        <w:rPr>
          <w:rFonts w:cstheme="minorHAnsi"/>
          <w:sz w:val="24"/>
          <w:szCs w:val="24"/>
        </w:rPr>
        <w:t>ing</w:t>
      </w:r>
      <w:r w:rsidR="00EC0728" w:rsidRPr="00EF7076">
        <w:rPr>
          <w:rFonts w:cstheme="minorHAnsi"/>
          <w:sz w:val="24"/>
          <w:szCs w:val="24"/>
        </w:rPr>
        <w:t xml:space="preserve"> teaching space. Many </w:t>
      </w:r>
      <w:r w:rsidR="00A077A2" w:rsidRPr="00EF7076">
        <w:rPr>
          <w:rFonts w:cstheme="minorHAnsi"/>
          <w:sz w:val="24"/>
          <w:szCs w:val="24"/>
        </w:rPr>
        <w:t>classes have been hosted outside of the University campus, which has impacted the student experience, but notably for some disabled students</w:t>
      </w:r>
      <w:r w:rsidR="009522E5" w:rsidRPr="00EF7076">
        <w:rPr>
          <w:rFonts w:cstheme="minorHAnsi"/>
          <w:sz w:val="24"/>
          <w:szCs w:val="24"/>
        </w:rPr>
        <w:t>. This issue is an urgent priority for the University as we move towards the next academic session and ensure mo</w:t>
      </w:r>
      <w:r w:rsidR="009569FF">
        <w:rPr>
          <w:rFonts w:cstheme="minorHAnsi"/>
          <w:sz w:val="24"/>
          <w:szCs w:val="24"/>
        </w:rPr>
        <w:t>r</w:t>
      </w:r>
      <w:r w:rsidR="009522E5" w:rsidRPr="00EF7076">
        <w:rPr>
          <w:rFonts w:cstheme="minorHAnsi"/>
          <w:sz w:val="24"/>
          <w:szCs w:val="24"/>
        </w:rPr>
        <w:t>e teaching space is available on campus.</w:t>
      </w:r>
    </w:p>
    <w:bookmarkEnd w:id="1"/>
    <w:p w14:paraId="3F7F12F6" w14:textId="041B3135" w:rsidR="00C705EC" w:rsidRPr="00080825" w:rsidRDefault="00393AB5" w:rsidP="006C075C">
      <w:pPr>
        <w:pStyle w:val="Heading1"/>
      </w:pPr>
      <w:r w:rsidRPr="00080825">
        <w:t xml:space="preserve">6. </w:t>
      </w:r>
      <w:r w:rsidR="00C705EC" w:rsidRPr="00080825">
        <w:t>Mainstreaming Examples</w:t>
      </w:r>
    </w:p>
    <w:p w14:paraId="5C7FA948" w14:textId="0FD09D63" w:rsidR="005E1AF1" w:rsidRPr="00080825" w:rsidRDefault="005E1AF1">
      <w:pPr>
        <w:rPr>
          <w:rFonts w:cstheme="minorHAnsi"/>
          <w:sz w:val="24"/>
          <w:szCs w:val="24"/>
        </w:rPr>
      </w:pPr>
      <w:bookmarkStart w:id="2" w:name="_Hlk69745865"/>
      <w:r w:rsidRPr="00080825">
        <w:rPr>
          <w:rFonts w:cstheme="minorHAnsi"/>
          <w:sz w:val="24"/>
          <w:szCs w:val="24"/>
        </w:rPr>
        <w:t>This report is unable to highlight all examples of mainstreaming across the University, so this report focusses on new and/or key developments in mainstreaming activity.</w:t>
      </w:r>
    </w:p>
    <w:p w14:paraId="5132A9E4" w14:textId="1BDAFE05" w:rsidR="005E1AF1" w:rsidRPr="00080825" w:rsidRDefault="005E1AF1">
      <w:pPr>
        <w:rPr>
          <w:rFonts w:cstheme="minorHAnsi"/>
          <w:sz w:val="24"/>
          <w:szCs w:val="24"/>
        </w:rPr>
      </w:pPr>
      <w:bookmarkStart w:id="3" w:name="_Hlk69745881"/>
      <w:bookmarkEnd w:id="2"/>
      <w:r w:rsidRPr="00080825">
        <w:rPr>
          <w:rFonts w:cstheme="minorHAnsi"/>
          <w:sz w:val="24"/>
          <w:szCs w:val="24"/>
        </w:rPr>
        <w:t>These examples are structure</w:t>
      </w:r>
      <w:r w:rsidR="00464E0D" w:rsidRPr="00080825">
        <w:rPr>
          <w:rFonts w:cstheme="minorHAnsi"/>
          <w:sz w:val="24"/>
          <w:szCs w:val="24"/>
        </w:rPr>
        <w:t>d</w:t>
      </w:r>
      <w:r w:rsidRPr="00080825">
        <w:rPr>
          <w:rFonts w:cstheme="minorHAnsi"/>
          <w:sz w:val="24"/>
          <w:szCs w:val="24"/>
        </w:rPr>
        <w:t xml:space="preserve"> under the three components of the Equality Act General Duty.</w:t>
      </w:r>
    </w:p>
    <w:bookmarkEnd w:id="3"/>
    <w:p w14:paraId="6FB0A569" w14:textId="34E3A89F" w:rsidR="00C92BA4" w:rsidRPr="006C075C" w:rsidRDefault="00393AB5" w:rsidP="006C075C">
      <w:pPr>
        <w:pStyle w:val="Heading2"/>
      </w:pPr>
      <w:r w:rsidRPr="006C075C">
        <w:t xml:space="preserve">6.1 </w:t>
      </w:r>
      <w:r w:rsidR="00C92BA4" w:rsidRPr="006C075C">
        <w:t>Eliminate discrimination, harassment, victimisation and any other conduct that is prohibited by the Act</w:t>
      </w:r>
      <w:r w:rsidR="00AB1A1D" w:rsidRPr="006C075C">
        <w:t>.</w:t>
      </w:r>
    </w:p>
    <w:p w14:paraId="1CC8A14D" w14:textId="12DDAF10" w:rsidR="00010054" w:rsidRPr="001A48DE" w:rsidRDefault="006B0192" w:rsidP="00C92BA4">
      <w:pPr>
        <w:rPr>
          <w:rFonts w:cstheme="minorHAnsi"/>
          <w:sz w:val="24"/>
          <w:szCs w:val="24"/>
        </w:rPr>
      </w:pPr>
      <w:r w:rsidRPr="00EF4E0B">
        <w:rPr>
          <w:rFonts w:cstheme="minorHAnsi"/>
          <w:b/>
          <w:bCs/>
          <w:sz w:val="24"/>
          <w:szCs w:val="24"/>
        </w:rPr>
        <w:t>6.1.1</w:t>
      </w:r>
      <w:r>
        <w:rPr>
          <w:rFonts w:cstheme="minorHAnsi"/>
          <w:sz w:val="24"/>
          <w:szCs w:val="24"/>
        </w:rPr>
        <w:t xml:space="preserve"> </w:t>
      </w:r>
      <w:r w:rsidR="00010054" w:rsidRPr="001A48DE">
        <w:rPr>
          <w:rFonts w:cstheme="minorHAnsi"/>
          <w:sz w:val="24"/>
          <w:szCs w:val="24"/>
        </w:rPr>
        <w:t xml:space="preserve">In 2021, the University published a report entitled </w:t>
      </w:r>
      <w:hyperlink r:id="rId13" w:history="1">
        <w:r w:rsidR="00010054" w:rsidRPr="00124429">
          <w:rPr>
            <w:rStyle w:val="Hyperlink"/>
            <w:rFonts w:cstheme="minorHAnsi"/>
            <w:color w:val="0070C0"/>
            <w:sz w:val="24"/>
            <w:szCs w:val="24"/>
          </w:rPr>
          <w:t>Understanding Racism Transforming University Culture</w:t>
        </w:r>
        <w:r w:rsidR="007A017F" w:rsidRPr="00124429">
          <w:rPr>
            <w:rStyle w:val="Hyperlink"/>
            <w:rFonts w:cstheme="minorHAnsi"/>
            <w:color w:val="0070C0"/>
            <w:sz w:val="24"/>
            <w:szCs w:val="24"/>
          </w:rPr>
          <w:t xml:space="preserve"> (URTUC)</w:t>
        </w:r>
        <w:r w:rsidR="00010054" w:rsidRPr="00124429">
          <w:rPr>
            <w:rStyle w:val="Hyperlink"/>
            <w:rFonts w:cstheme="minorHAnsi"/>
            <w:color w:val="0070C0"/>
            <w:sz w:val="24"/>
            <w:szCs w:val="24"/>
          </w:rPr>
          <w:t>,</w:t>
        </w:r>
      </w:hyperlink>
      <w:r w:rsidR="00010054" w:rsidRPr="001A48DE">
        <w:rPr>
          <w:rFonts w:cstheme="minorHAnsi"/>
          <w:sz w:val="24"/>
          <w:szCs w:val="24"/>
        </w:rPr>
        <w:t xml:space="preserve"> this report considered the </w:t>
      </w:r>
      <w:r w:rsidR="00775FAA" w:rsidRPr="001A48DE">
        <w:rPr>
          <w:rFonts w:cstheme="minorHAnsi"/>
          <w:sz w:val="24"/>
          <w:szCs w:val="24"/>
        </w:rPr>
        <w:t xml:space="preserve">impact of race and racism within the University campus. </w:t>
      </w:r>
      <w:r w:rsidR="00785F96" w:rsidRPr="001A48DE">
        <w:rPr>
          <w:rFonts w:cstheme="minorHAnsi"/>
          <w:sz w:val="24"/>
          <w:szCs w:val="24"/>
        </w:rPr>
        <w:t>This was in response to the</w:t>
      </w:r>
      <w:r w:rsidR="009D35DB" w:rsidRPr="001A48DE">
        <w:rPr>
          <w:rFonts w:cstheme="minorHAnsi"/>
          <w:sz w:val="24"/>
          <w:szCs w:val="24"/>
        </w:rPr>
        <w:t xml:space="preserve"> 2019</w:t>
      </w:r>
      <w:r w:rsidR="00785F96" w:rsidRPr="001A48DE">
        <w:rPr>
          <w:rFonts w:cstheme="minorHAnsi"/>
          <w:sz w:val="24"/>
          <w:szCs w:val="24"/>
        </w:rPr>
        <w:t xml:space="preserve"> EHRC</w:t>
      </w:r>
      <w:r w:rsidR="009D1349" w:rsidRPr="001A48DE">
        <w:rPr>
          <w:rFonts w:cstheme="minorHAnsi"/>
          <w:sz w:val="24"/>
          <w:szCs w:val="24"/>
        </w:rPr>
        <w:t xml:space="preserve"> Inquiry </w:t>
      </w:r>
      <w:r w:rsidR="009D35DB" w:rsidRPr="001A48DE">
        <w:rPr>
          <w:rFonts w:cstheme="minorHAnsi"/>
          <w:sz w:val="24"/>
          <w:szCs w:val="24"/>
        </w:rPr>
        <w:t>report</w:t>
      </w:r>
      <w:r w:rsidR="009D1349" w:rsidRPr="001A48DE">
        <w:rPr>
          <w:rFonts w:cstheme="minorHAnsi"/>
          <w:sz w:val="24"/>
          <w:szCs w:val="24"/>
        </w:rPr>
        <w:t xml:space="preserve"> </w:t>
      </w:r>
      <w:hyperlink r:id="rId14" w:history="1">
        <w:r w:rsidR="009D1349" w:rsidRPr="00124429">
          <w:rPr>
            <w:rStyle w:val="Hyperlink"/>
            <w:rFonts w:cstheme="minorHAnsi"/>
            <w:color w:val="0070C0"/>
            <w:sz w:val="24"/>
            <w:szCs w:val="24"/>
          </w:rPr>
          <w:t xml:space="preserve">Tackling </w:t>
        </w:r>
        <w:r w:rsidR="009D35DB" w:rsidRPr="00124429">
          <w:rPr>
            <w:rStyle w:val="Hyperlink"/>
            <w:rFonts w:cstheme="minorHAnsi"/>
            <w:color w:val="0070C0"/>
            <w:sz w:val="24"/>
            <w:szCs w:val="24"/>
          </w:rPr>
          <w:t>Racial Harassment: Universities Challenged</w:t>
        </w:r>
      </w:hyperlink>
      <w:r w:rsidR="009D35DB" w:rsidRPr="001A48DE">
        <w:rPr>
          <w:rFonts w:cstheme="minorHAnsi"/>
          <w:sz w:val="24"/>
          <w:szCs w:val="24"/>
        </w:rPr>
        <w:t xml:space="preserve">. Widening the </w:t>
      </w:r>
      <w:r w:rsidR="005A1053" w:rsidRPr="001A48DE">
        <w:rPr>
          <w:rFonts w:cstheme="minorHAnsi"/>
          <w:sz w:val="24"/>
          <w:szCs w:val="24"/>
        </w:rPr>
        <w:t xml:space="preserve">scope, the University </w:t>
      </w:r>
      <w:r w:rsidR="00775FAA" w:rsidRPr="001A48DE">
        <w:rPr>
          <w:rFonts w:cstheme="minorHAnsi"/>
          <w:sz w:val="24"/>
          <w:szCs w:val="24"/>
        </w:rPr>
        <w:t xml:space="preserve">included </w:t>
      </w:r>
      <w:r w:rsidR="0030621C" w:rsidRPr="001A48DE">
        <w:rPr>
          <w:rFonts w:cstheme="minorHAnsi"/>
          <w:sz w:val="24"/>
          <w:szCs w:val="24"/>
        </w:rPr>
        <w:t xml:space="preserve">systemic, </w:t>
      </w:r>
      <w:r w:rsidR="0024305F" w:rsidRPr="001A48DE">
        <w:rPr>
          <w:rFonts w:cstheme="minorHAnsi"/>
          <w:sz w:val="24"/>
          <w:szCs w:val="24"/>
        </w:rPr>
        <w:t>structural,</w:t>
      </w:r>
      <w:r w:rsidR="0030621C" w:rsidRPr="001A48DE">
        <w:rPr>
          <w:rFonts w:cstheme="minorHAnsi"/>
          <w:sz w:val="24"/>
          <w:szCs w:val="24"/>
        </w:rPr>
        <w:t xml:space="preserve"> and interpersonal racism. The action plan </w:t>
      </w:r>
      <w:r w:rsidR="006805FB" w:rsidRPr="001A48DE">
        <w:rPr>
          <w:rFonts w:cstheme="minorHAnsi"/>
          <w:sz w:val="24"/>
          <w:szCs w:val="24"/>
        </w:rPr>
        <w:t xml:space="preserve">developed </w:t>
      </w:r>
      <w:r w:rsidR="0024305F" w:rsidRPr="001A48DE">
        <w:rPr>
          <w:rFonts w:cstheme="minorHAnsi"/>
          <w:sz w:val="24"/>
          <w:szCs w:val="24"/>
        </w:rPr>
        <w:t xml:space="preserve">from the report </w:t>
      </w:r>
      <w:r w:rsidR="006805FB" w:rsidRPr="001A48DE">
        <w:rPr>
          <w:rFonts w:cstheme="minorHAnsi"/>
          <w:sz w:val="24"/>
          <w:szCs w:val="24"/>
        </w:rPr>
        <w:t xml:space="preserve">findings </w:t>
      </w:r>
      <w:r w:rsidR="0024305F" w:rsidRPr="001A48DE">
        <w:rPr>
          <w:rFonts w:cstheme="minorHAnsi"/>
          <w:sz w:val="24"/>
          <w:szCs w:val="24"/>
        </w:rPr>
        <w:t xml:space="preserve">has been an integral part of the work completed by the University in the past two years. </w:t>
      </w:r>
      <w:r w:rsidR="00E22197" w:rsidRPr="001A48DE">
        <w:rPr>
          <w:rFonts w:cstheme="minorHAnsi"/>
          <w:sz w:val="24"/>
          <w:szCs w:val="24"/>
        </w:rPr>
        <w:t xml:space="preserve">The action plan was based on four principles, which </w:t>
      </w:r>
      <w:r w:rsidR="00E77681" w:rsidRPr="001A48DE">
        <w:rPr>
          <w:rFonts w:cstheme="minorHAnsi"/>
          <w:sz w:val="24"/>
          <w:szCs w:val="24"/>
        </w:rPr>
        <w:t>are:</w:t>
      </w:r>
    </w:p>
    <w:p w14:paraId="3AF3D212" w14:textId="77777777" w:rsidR="001A48DE" w:rsidRPr="001A48DE" w:rsidRDefault="001A48DE" w:rsidP="001A48DE">
      <w:pPr>
        <w:pStyle w:val="ListParagraph"/>
        <w:numPr>
          <w:ilvl w:val="0"/>
          <w:numId w:val="16"/>
        </w:numPr>
        <w:rPr>
          <w:rFonts w:cstheme="minorHAnsi"/>
          <w:sz w:val="24"/>
          <w:szCs w:val="24"/>
        </w:rPr>
      </w:pPr>
      <w:r w:rsidRPr="001A48DE">
        <w:rPr>
          <w:rFonts w:cstheme="minorHAnsi"/>
          <w:sz w:val="24"/>
          <w:szCs w:val="24"/>
        </w:rPr>
        <w:t>The University of Glasgow takes an anti-racist approach to race equality work and accept our processes will contain structural inequalities.</w:t>
      </w:r>
    </w:p>
    <w:p w14:paraId="36CEC6DE" w14:textId="77777777" w:rsidR="001A48DE" w:rsidRPr="001A48DE" w:rsidRDefault="001A48DE" w:rsidP="001A48DE">
      <w:pPr>
        <w:pStyle w:val="ListParagraph"/>
        <w:numPr>
          <w:ilvl w:val="0"/>
          <w:numId w:val="16"/>
        </w:numPr>
        <w:rPr>
          <w:rFonts w:cstheme="minorHAnsi"/>
          <w:sz w:val="24"/>
          <w:szCs w:val="24"/>
        </w:rPr>
      </w:pPr>
      <w:r w:rsidRPr="001A48DE">
        <w:rPr>
          <w:rFonts w:cstheme="minorHAnsi"/>
          <w:sz w:val="24"/>
          <w:szCs w:val="24"/>
        </w:rPr>
        <w:t>Racial harassment in any form is unacceptable on our campus.</w:t>
      </w:r>
    </w:p>
    <w:p w14:paraId="35B013AE" w14:textId="77777777" w:rsidR="001A48DE" w:rsidRPr="001A48DE" w:rsidRDefault="001A48DE" w:rsidP="001A48DE">
      <w:pPr>
        <w:pStyle w:val="ListParagraph"/>
        <w:numPr>
          <w:ilvl w:val="0"/>
          <w:numId w:val="16"/>
        </w:numPr>
        <w:rPr>
          <w:rFonts w:cstheme="minorHAnsi"/>
          <w:sz w:val="24"/>
          <w:szCs w:val="24"/>
        </w:rPr>
      </w:pPr>
      <w:r w:rsidRPr="001A48DE">
        <w:rPr>
          <w:rFonts w:cstheme="minorHAnsi"/>
          <w:sz w:val="24"/>
          <w:szCs w:val="24"/>
        </w:rPr>
        <w:t>Our curriculum and learning community will thrive when it is reflective of global perspectives and when race equality is embedded.</w:t>
      </w:r>
    </w:p>
    <w:p w14:paraId="3EEFDCAB" w14:textId="77777777" w:rsidR="001A48DE" w:rsidRPr="001A48DE" w:rsidRDefault="001A48DE" w:rsidP="001A48DE">
      <w:pPr>
        <w:pStyle w:val="ListParagraph"/>
        <w:numPr>
          <w:ilvl w:val="0"/>
          <w:numId w:val="16"/>
        </w:numPr>
        <w:rPr>
          <w:rFonts w:cstheme="minorHAnsi"/>
          <w:sz w:val="24"/>
          <w:szCs w:val="24"/>
        </w:rPr>
      </w:pPr>
      <w:r w:rsidRPr="001A48DE">
        <w:rPr>
          <w:rFonts w:cstheme="minorHAnsi"/>
          <w:sz w:val="24"/>
          <w:szCs w:val="24"/>
        </w:rPr>
        <w:t>We want all our staff and students, particularly those from ethnic minorities to achieve their potential through our excellent learning and career development opportunities.</w:t>
      </w:r>
    </w:p>
    <w:p w14:paraId="7EAC6078" w14:textId="09646527" w:rsidR="00841EA4" w:rsidRPr="00F35E59" w:rsidRDefault="00176DDD" w:rsidP="00C92BA4">
      <w:pPr>
        <w:rPr>
          <w:rFonts w:cstheme="minorHAnsi"/>
          <w:sz w:val="24"/>
          <w:szCs w:val="24"/>
        </w:rPr>
      </w:pPr>
      <w:r w:rsidRPr="00F35E59">
        <w:rPr>
          <w:rFonts w:cstheme="minorHAnsi"/>
          <w:sz w:val="24"/>
          <w:szCs w:val="24"/>
        </w:rPr>
        <w:t>The U</w:t>
      </w:r>
      <w:r w:rsidR="00EE7645" w:rsidRPr="00F35E59">
        <w:rPr>
          <w:rFonts w:cstheme="minorHAnsi"/>
          <w:sz w:val="24"/>
          <w:szCs w:val="24"/>
        </w:rPr>
        <w:t xml:space="preserve">niversity </w:t>
      </w:r>
      <w:r w:rsidR="00045752" w:rsidRPr="00F35E59">
        <w:rPr>
          <w:rFonts w:cstheme="minorHAnsi"/>
          <w:sz w:val="24"/>
          <w:szCs w:val="24"/>
        </w:rPr>
        <w:t xml:space="preserve">has </w:t>
      </w:r>
      <w:r w:rsidR="00173548" w:rsidRPr="00F35E59">
        <w:rPr>
          <w:rFonts w:cstheme="minorHAnsi"/>
          <w:sz w:val="24"/>
          <w:szCs w:val="24"/>
        </w:rPr>
        <w:t xml:space="preserve">implemented a range of the actions </w:t>
      </w:r>
      <w:r w:rsidR="0098674A" w:rsidRPr="00F35E59">
        <w:rPr>
          <w:rFonts w:cstheme="minorHAnsi"/>
          <w:sz w:val="24"/>
          <w:szCs w:val="24"/>
        </w:rPr>
        <w:t>from the URTUC action plan</w:t>
      </w:r>
      <w:r w:rsidR="00A57B0A" w:rsidRPr="00F35E59">
        <w:rPr>
          <w:rFonts w:cstheme="minorHAnsi"/>
          <w:sz w:val="24"/>
          <w:szCs w:val="24"/>
        </w:rPr>
        <w:t xml:space="preserve">, and many of these have been mainstreamed across the organisation. </w:t>
      </w:r>
    </w:p>
    <w:p w14:paraId="68E4A10F" w14:textId="52C37670" w:rsidR="00E77681" w:rsidRPr="00F35E59" w:rsidRDefault="00DE423A" w:rsidP="00C92BA4">
      <w:pPr>
        <w:rPr>
          <w:rFonts w:cstheme="minorHAnsi"/>
          <w:sz w:val="24"/>
          <w:szCs w:val="24"/>
        </w:rPr>
      </w:pPr>
      <w:r w:rsidRPr="00CB5FD3">
        <w:rPr>
          <w:rFonts w:cstheme="minorHAnsi"/>
          <w:b/>
          <w:bCs/>
          <w:sz w:val="24"/>
          <w:szCs w:val="24"/>
        </w:rPr>
        <w:t>6.1.2</w:t>
      </w:r>
      <w:r>
        <w:rPr>
          <w:rFonts w:cstheme="minorHAnsi"/>
          <w:sz w:val="24"/>
          <w:szCs w:val="24"/>
        </w:rPr>
        <w:t xml:space="preserve"> </w:t>
      </w:r>
      <w:r w:rsidR="002355B2" w:rsidRPr="00F35E59">
        <w:rPr>
          <w:rFonts w:cstheme="minorHAnsi"/>
          <w:sz w:val="24"/>
          <w:szCs w:val="24"/>
        </w:rPr>
        <w:t xml:space="preserve">The University has developed and procured a rage of </w:t>
      </w:r>
      <w:r w:rsidR="0076300D">
        <w:rPr>
          <w:rFonts w:cstheme="minorHAnsi"/>
          <w:sz w:val="24"/>
          <w:szCs w:val="24"/>
        </w:rPr>
        <w:t>a</w:t>
      </w:r>
      <w:r w:rsidR="00956311" w:rsidRPr="00F35E59">
        <w:rPr>
          <w:rFonts w:cstheme="minorHAnsi"/>
          <w:sz w:val="24"/>
          <w:szCs w:val="24"/>
        </w:rPr>
        <w:t>nti-</w:t>
      </w:r>
      <w:r w:rsidR="0076300D">
        <w:rPr>
          <w:rFonts w:cstheme="minorHAnsi"/>
          <w:sz w:val="24"/>
          <w:szCs w:val="24"/>
        </w:rPr>
        <w:t>r</w:t>
      </w:r>
      <w:r w:rsidR="00956311" w:rsidRPr="00F35E59">
        <w:rPr>
          <w:rFonts w:cstheme="minorHAnsi"/>
          <w:sz w:val="24"/>
          <w:szCs w:val="24"/>
        </w:rPr>
        <w:t xml:space="preserve">acism </w:t>
      </w:r>
      <w:r w:rsidR="0076300D">
        <w:rPr>
          <w:rFonts w:cstheme="minorHAnsi"/>
          <w:sz w:val="24"/>
          <w:szCs w:val="24"/>
        </w:rPr>
        <w:t>t</w:t>
      </w:r>
      <w:r w:rsidR="00956311" w:rsidRPr="00F35E59">
        <w:rPr>
          <w:rFonts w:cstheme="minorHAnsi"/>
          <w:sz w:val="24"/>
          <w:szCs w:val="24"/>
        </w:rPr>
        <w:t xml:space="preserve">raining </w:t>
      </w:r>
      <w:r w:rsidR="002355B2" w:rsidRPr="00F35E59">
        <w:rPr>
          <w:rFonts w:cstheme="minorHAnsi"/>
          <w:sz w:val="24"/>
          <w:szCs w:val="24"/>
        </w:rPr>
        <w:t xml:space="preserve">and tailored this for specific </w:t>
      </w:r>
      <w:r w:rsidR="00FF6A21" w:rsidRPr="00F35E59">
        <w:rPr>
          <w:rFonts w:cstheme="minorHAnsi"/>
          <w:sz w:val="24"/>
          <w:szCs w:val="24"/>
        </w:rPr>
        <w:t>audiences. Knowing that leadership understanding is key</w:t>
      </w:r>
      <w:r w:rsidR="002D1CCB" w:rsidRPr="00F35E59">
        <w:rPr>
          <w:rFonts w:cstheme="minorHAnsi"/>
          <w:sz w:val="24"/>
          <w:szCs w:val="24"/>
        </w:rPr>
        <w:t xml:space="preserve">, </w:t>
      </w:r>
      <w:r w:rsidR="00B20977" w:rsidRPr="00F35E59">
        <w:rPr>
          <w:rFonts w:cstheme="minorHAnsi"/>
          <w:sz w:val="24"/>
          <w:szCs w:val="24"/>
        </w:rPr>
        <w:t xml:space="preserve">the University </w:t>
      </w:r>
      <w:r w:rsidR="009B359E" w:rsidRPr="00F35E59">
        <w:rPr>
          <w:rFonts w:cstheme="minorHAnsi"/>
          <w:sz w:val="24"/>
          <w:szCs w:val="24"/>
        </w:rPr>
        <w:t>prioritise</w:t>
      </w:r>
      <w:r w:rsidR="009B359E">
        <w:rPr>
          <w:rFonts w:cstheme="minorHAnsi"/>
          <w:sz w:val="24"/>
          <w:szCs w:val="24"/>
        </w:rPr>
        <w:t>d</w:t>
      </w:r>
      <w:r w:rsidR="00B20977" w:rsidRPr="00F35E59">
        <w:rPr>
          <w:rFonts w:cstheme="minorHAnsi"/>
          <w:sz w:val="24"/>
          <w:szCs w:val="24"/>
        </w:rPr>
        <w:t xml:space="preserve"> training for the S</w:t>
      </w:r>
      <w:r w:rsidR="009B359E">
        <w:rPr>
          <w:rFonts w:cstheme="minorHAnsi"/>
          <w:sz w:val="24"/>
          <w:szCs w:val="24"/>
        </w:rPr>
        <w:t>MG</w:t>
      </w:r>
      <w:r w:rsidR="00B20977" w:rsidRPr="00F35E59">
        <w:rPr>
          <w:rFonts w:cstheme="minorHAnsi"/>
          <w:sz w:val="24"/>
          <w:szCs w:val="24"/>
        </w:rPr>
        <w:t xml:space="preserve"> with two dedicated sessions on race</w:t>
      </w:r>
      <w:r w:rsidR="005B459B" w:rsidRPr="00F35E59">
        <w:rPr>
          <w:rFonts w:cstheme="minorHAnsi"/>
          <w:sz w:val="24"/>
          <w:szCs w:val="24"/>
        </w:rPr>
        <w:t xml:space="preserve">, racism and anti-racism. This was followed by training for the </w:t>
      </w:r>
      <w:r w:rsidR="00CD168C" w:rsidRPr="00F35E59">
        <w:rPr>
          <w:rFonts w:cstheme="minorHAnsi"/>
          <w:sz w:val="24"/>
          <w:szCs w:val="24"/>
        </w:rPr>
        <w:t>senior leaders at College/U</w:t>
      </w:r>
      <w:r w:rsidR="003C6CFC">
        <w:rPr>
          <w:rFonts w:cstheme="minorHAnsi"/>
          <w:sz w:val="24"/>
          <w:szCs w:val="24"/>
        </w:rPr>
        <w:t xml:space="preserve">niversity </w:t>
      </w:r>
      <w:r w:rsidR="00CD168C" w:rsidRPr="00F35E59">
        <w:rPr>
          <w:rFonts w:cstheme="minorHAnsi"/>
          <w:sz w:val="24"/>
          <w:szCs w:val="24"/>
        </w:rPr>
        <w:t>S</w:t>
      </w:r>
      <w:r w:rsidR="003C6CFC">
        <w:rPr>
          <w:rFonts w:cstheme="minorHAnsi"/>
          <w:sz w:val="24"/>
          <w:szCs w:val="24"/>
        </w:rPr>
        <w:t>ervices</w:t>
      </w:r>
      <w:r w:rsidR="00CD168C" w:rsidRPr="00F35E59">
        <w:rPr>
          <w:rFonts w:cstheme="minorHAnsi"/>
          <w:sz w:val="24"/>
          <w:szCs w:val="24"/>
        </w:rPr>
        <w:t xml:space="preserve"> level (Deans, Heads of School, Executive Directors). </w:t>
      </w:r>
      <w:r w:rsidR="000B33AE" w:rsidRPr="00F35E59">
        <w:rPr>
          <w:rFonts w:cstheme="minorHAnsi"/>
          <w:sz w:val="24"/>
          <w:szCs w:val="24"/>
        </w:rPr>
        <w:t xml:space="preserve">The URTUC </w:t>
      </w:r>
      <w:r w:rsidR="00CD67E3" w:rsidRPr="00F35E59">
        <w:rPr>
          <w:rFonts w:cstheme="minorHAnsi"/>
          <w:sz w:val="24"/>
          <w:szCs w:val="24"/>
        </w:rPr>
        <w:t xml:space="preserve">action plan </w:t>
      </w:r>
      <w:r w:rsidR="00751A63" w:rsidRPr="00F35E59">
        <w:rPr>
          <w:rFonts w:cstheme="minorHAnsi"/>
          <w:sz w:val="24"/>
          <w:szCs w:val="24"/>
        </w:rPr>
        <w:t>prioritised</w:t>
      </w:r>
      <w:r w:rsidR="00CD67E3" w:rsidRPr="00F35E59">
        <w:rPr>
          <w:rFonts w:cstheme="minorHAnsi"/>
          <w:sz w:val="24"/>
          <w:szCs w:val="24"/>
        </w:rPr>
        <w:t xml:space="preserve"> training for Operational colleagues – these are</w:t>
      </w:r>
      <w:r w:rsidR="00F40D6D">
        <w:rPr>
          <w:rFonts w:cstheme="minorHAnsi"/>
          <w:sz w:val="24"/>
          <w:szCs w:val="24"/>
        </w:rPr>
        <w:t xml:space="preserve"> in the main</w:t>
      </w:r>
      <w:r w:rsidR="00CD67E3" w:rsidRPr="00F35E59">
        <w:rPr>
          <w:rFonts w:cstheme="minorHAnsi"/>
          <w:sz w:val="24"/>
          <w:szCs w:val="24"/>
        </w:rPr>
        <w:t xml:space="preserve"> colleagues in Estates and Commercial Services</w:t>
      </w:r>
      <w:r w:rsidR="00670A95" w:rsidRPr="00F35E59">
        <w:rPr>
          <w:rFonts w:cstheme="minorHAnsi"/>
          <w:sz w:val="24"/>
          <w:szCs w:val="24"/>
        </w:rPr>
        <w:t xml:space="preserve"> with a range of </w:t>
      </w:r>
      <w:r w:rsidR="00751A63" w:rsidRPr="00F35E59">
        <w:rPr>
          <w:rFonts w:cstheme="minorHAnsi"/>
          <w:sz w:val="24"/>
          <w:szCs w:val="24"/>
        </w:rPr>
        <w:t>front-line</w:t>
      </w:r>
      <w:r w:rsidR="00670A95" w:rsidRPr="00F35E59">
        <w:rPr>
          <w:rFonts w:cstheme="minorHAnsi"/>
          <w:sz w:val="24"/>
          <w:szCs w:val="24"/>
        </w:rPr>
        <w:t xml:space="preserve"> roles including facilities services, </w:t>
      </w:r>
      <w:r w:rsidR="00751A63" w:rsidRPr="00F35E59">
        <w:rPr>
          <w:rFonts w:cstheme="minorHAnsi"/>
          <w:sz w:val="24"/>
          <w:szCs w:val="24"/>
        </w:rPr>
        <w:t>hospitality</w:t>
      </w:r>
      <w:r w:rsidR="00670A95" w:rsidRPr="00F35E59">
        <w:rPr>
          <w:rFonts w:cstheme="minorHAnsi"/>
          <w:sz w:val="24"/>
          <w:szCs w:val="24"/>
        </w:rPr>
        <w:t>, security</w:t>
      </w:r>
      <w:r w:rsidR="00B14FEB" w:rsidRPr="00F35E59">
        <w:rPr>
          <w:rFonts w:cstheme="minorHAnsi"/>
          <w:sz w:val="24"/>
          <w:szCs w:val="24"/>
        </w:rPr>
        <w:t xml:space="preserve">, sport, and cleaning colleagues. Operational </w:t>
      </w:r>
      <w:r w:rsidR="00751A63" w:rsidRPr="00F35E59">
        <w:rPr>
          <w:rFonts w:cstheme="minorHAnsi"/>
          <w:sz w:val="24"/>
          <w:szCs w:val="24"/>
        </w:rPr>
        <w:t>colleagues</w:t>
      </w:r>
      <w:r w:rsidR="00B14FEB" w:rsidRPr="00F35E59">
        <w:rPr>
          <w:rFonts w:cstheme="minorHAnsi"/>
          <w:sz w:val="24"/>
          <w:szCs w:val="24"/>
        </w:rPr>
        <w:t xml:space="preserve"> were provided with </w:t>
      </w:r>
      <w:r w:rsidR="00653714" w:rsidRPr="00F35E59">
        <w:rPr>
          <w:rFonts w:cstheme="minorHAnsi"/>
          <w:sz w:val="24"/>
          <w:szCs w:val="24"/>
        </w:rPr>
        <w:t>face-to-face</w:t>
      </w:r>
      <w:r w:rsidR="00751A63" w:rsidRPr="00F35E59">
        <w:rPr>
          <w:rFonts w:cstheme="minorHAnsi"/>
          <w:sz w:val="24"/>
          <w:szCs w:val="24"/>
        </w:rPr>
        <w:t xml:space="preserve"> sessions on </w:t>
      </w:r>
      <w:r w:rsidR="00C17EC1" w:rsidRPr="00F35E59">
        <w:rPr>
          <w:rFonts w:cstheme="minorHAnsi"/>
          <w:sz w:val="24"/>
          <w:szCs w:val="24"/>
        </w:rPr>
        <w:t>anti-racism</w:t>
      </w:r>
      <w:r w:rsidR="001C52FA" w:rsidRPr="00F35E59">
        <w:rPr>
          <w:rFonts w:cstheme="minorHAnsi"/>
          <w:sz w:val="24"/>
          <w:szCs w:val="24"/>
        </w:rPr>
        <w:t xml:space="preserve"> with over 1000 spaces available to attend the training. In addition, online training Let’s Talk about Race in the Workplace</w:t>
      </w:r>
      <w:r w:rsidR="00154164" w:rsidRPr="00F35E59">
        <w:rPr>
          <w:rFonts w:cstheme="minorHAnsi"/>
          <w:sz w:val="24"/>
          <w:szCs w:val="24"/>
        </w:rPr>
        <w:t xml:space="preserve"> has been made available to all colleagues. </w:t>
      </w:r>
    </w:p>
    <w:p w14:paraId="2180D09C" w14:textId="4A276C65" w:rsidR="00CF2C3A" w:rsidRPr="00F35E59" w:rsidRDefault="00DE423A" w:rsidP="00824048">
      <w:pPr>
        <w:rPr>
          <w:rFonts w:cstheme="minorHAnsi"/>
          <w:sz w:val="24"/>
          <w:szCs w:val="24"/>
        </w:rPr>
      </w:pPr>
      <w:r w:rsidRPr="00246A25">
        <w:rPr>
          <w:rFonts w:cstheme="minorHAnsi"/>
          <w:b/>
          <w:bCs/>
          <w:sz w:val="24"/>
          <w:szCs w:val="24"/>
        </w:rPr>
        <w:lastRenderedPageBreak/>
        <w:t>6.1.3</w:t>
      </w:r>
      <w:r>
        <w:rPr>
          <w:rFonts w:cstheme="minorHAnsi"/>
          <w:sz w:val="24"/>
          <w:szCs w:val="24"/>
        </w:rPr>
        <w:t xml:space="preserve"> </w:t>
      </w:r>
      <w:r w:rsidR="001B4AFC" w:rsidRPr="00F35E59">
        <w:rPr>
          <w:rFonts w:cstheme="minorHAnsi"/>
          <w:sz w:val="24"/>
          <w:szCs w:val="24"/>
        </w:rPr>
        <w:t xml:space="preserve">A key </w:t>
      </w:r>
      <w:r w:rsidR="00346D5E" w:rsidRPr="00F35E59">
        <w:rPr>
          <w:rFonts w:cstheme="minorHAnsi"/>
          <w:sz w:val="24"/>
          <w:szCs w:val="24"/>
        </w:rPr>
        <w:t>outcome</w:t>
      </w:r>
      <w:r w:rsidR="001B4AFC" w:rsidRPr="00F35E59">
        <w:rPr>
          <w:rFonts w:cstheme="minorHAnsi"/>
          <w:sz w:val="24"/>
          <w:szCs w:val="24"/>
        </w:rPr>
        <w:t xml:space="preserve"> from the URTUC report was very few students or colleagues understood how to report</w:t>
      </w:r>
      <w:r w:rsidR="00A74D69" w:rsidRPr="00F35E59">
        <w:rPr>
          <w:rFonts w:cstheme="minorHAnsi"/>
          <w:sz w:val="24"/>
          <w:szCs w:val="24"/>
        </w:rPr>
        <w:t xml:space="preserve"> racism</w:t>
      </w:r>
      <w:r w:rsidR="00AF648F" w:rsidRPr="00F35E59">
        <w:rPr>
          <w:rFonts w:cstheme="minorHAnsi"/>
          <w:sz w:val="24"/>
          <w:szCs w:val="24"/>
        </w:rPr>
        <w:t>. From this</w:t>
      </w:r>
      <w:r w:rsidR="008A183F" w:rsidRPr="00F35E59">
        <w:rPr>
          <w:rFonts w:cstheme="minorHAnsi"/>
          <w:sz w:val="24"/>
          <w:szCs w:val="24"/>
        </w:rPr>
        <w:t>, the University developed c</w:t>
      </w:r>
      <w:r w:rsidR="00981CD7" w:rsidRPr="00F35E59">
        <w:rPr>
          <w:rFonts w:cstheme="minorHAnsi"/>
          <w:sz w:val="24"/>
          <w:szCs w:val="24"/>
        </w:rPr>
        <w:t xml:space="preserve">ampaign </w:t>
      </w:r>
      <w:hyperlink r:id="rId15" w:history="1">
        <w:r w:rsidR="008A183F" w:rsidRPr="00124429">
          <w:rPr>
            <w:rStyle w:val="Hyperlink"/>
            <w:rFonts w:cstheme="minorHAnsi"/>
            <w:color w:val="0070C0"/>
            <w:sz w:val="24"/>
            <w:szCs w:val="24"/>
          </w:rPr>
          <w:t>Together Against Racism</w:t>
        </w:r>
      </w:hyperlink>
      <w:r w:rsidR="00A04B04" w:rsidRPr="00F35E59">
        <w:rPr>
          <w:rFonts w:cstheme="minorHAnsi"/>
          <w:sz w:val="24"/>
          <w:szCs w:val="24"/>
        </w:rPr>
        <w:t xml:space="preserve">, this campaign was developed through </w:t>
      </w:r>
      <w:r w:rsidR="003678EA" w:rsidRPr="00F35E59">
        <w:rPr>
          <w:rFonts w:cstheme="minorHAnsi"/>
          <w:sz w:val="24"/>
          <w:szCs w:val="24"/>
        </w:rPr>
        <w:t>partnership with</w:t>
      </w:r>
      <w:r w:rsidR="00291103" w:rsidRPr="00F35E59">
        <w:rPr>
          <w:rFonts w:cstheme="minorHAnsi"/>
          <w:sz w:val="24"/>
          <w:szCs w:val="24"/>
        </w:rPr>
        <w:t xml:space="preserve"> students</w:t>
      </w:r>
      <w:r w:rsidR="00CF2C3A" w:rsidRPr="00F35E59">
        <w:rPr>
          <w:rFonts w:cstheme="minorHAnsi"/>
          <w:sz w:val="24"/>
          <w:szCs w:val="24"/>
        </w:rPr>
        <w:t xml:space="preserve"> and colleagues</w:t>
      </w:r>
      <w:r w:rsidR="00824048" w:rsidRPr="00F35E59">
        <w:rPr>
          <w:rFonts w:cstheme="minorHAnsi"/>
          <w:sz w:val="24"/>
          <w:szCs w:val="24"/>
        </w:rPr>
        <w:t xml:space="preserve">. Firstly, an academic in the Adam Smith Business School used the URTUC report and this action to build his Social Marketing </w:t>
      </w:r>
      <w:r w:rsidR="008A312E">
        <w:rPr>
          <w:rFonts w:cstheme="minorHAnsi"/>
          <w:sz w:val="24"/>
          <w:szCs w:val="24"/>
        </w:rPr>
        <w:t>programme</w:t>
      </w:r>
      <w:r w:rsidR="00824048" w:rsidRPr="00F35E59">
        <w:rPr>
          <w:rFonts w:cstheme="minorHAnsi"/>
          <w:sz w:val="24"/>
          <w:szCs w:val="24"/>
        </w:rPr>
        <w:t xml:space="preserve"> </w:t>
      </w:r>
      <w:r w:rsidR="00B878E0" w:rsidRPr="00F35E59">
        <w:rPr>
          <w:rFonts w:cstheme="minorHAnsi"/>
          <w:sz w:val="24"/>
          <w:szCs w:val="24"/>
        </w:rPr>
        <w:t>for students; the University held a range of focus groups with students and colleagues to understand their views on the campaign, what it should address and the methodology to use</w:t>
      </w:r>
      <w:r w:rsidR="00A11F02" w:rsidRPr="00F35E59">
        <w:rPr>
          <w:rFonts w:cstheme="minorHAnsi"/>
          <w:sz w:val="24"/>
          <w:szCs w:val="24"/>
        </w:rPr>
        <w:t xml:space="preserve">, prior to final concepts </w:t>
      </w:r>
      <w:r w:rsidR="00617B1D" w:rsidRPr="00F35E59">
        <w:rPr>
          <w:rFonts w:cstheme="minorHAnsi"/>
          <w:sz w:val="24"/>
          <w:szCs w:val="24"/>
        </w:rPr>
        <w:t xml:space="preserve">being taken to a range of University groups and committees for final feedback. The campaign was launched on the </w:t>
      </w:r>
      <w:r w:rsidR="00E66C55" w:rsidRPr="00F35E59">
        <w:rPr>
          <w:rFonts w:cstheme="minorHAnsi"/>
          <w:sz w:val="24"/>
          <w:szCs w:val="24"/>
        </w:rPr>
        <w:t>31 October 2022</w:t>
      </w:r>
      <w:r w:rsidR="00A36A44" w:rsidRPr="00F35E59">
        <w:rPr>
          <w:rFonts w:cstheme="minorHAnsi"/>
          <w:sz w:val="24"/>
          <w:szCs w:val="24"/>
        </w:rPr>
        <w:t xml:space="preserve"> with a whole community email</w:t>
      </w:r>
      <w:r w:rsidR="00501ABD" w:rsidRPr="00F35E59">
        <w:rPr>
          <w:rFonts w:cstheme="minorHAnsi"/>
          <w:sz w:val="24"/>
          <w:szCs w:val="24"/>
        </w:rPr>
        <w:t xml:space="preserve"> from three members of SMG</w:t>
      </w:r>
      <w:r w:rsidR="00DA7DE4" w:rsidRPr="00F35E59">
        <w:rPr>
          <w:rFonts w:cstheme="minorHAnsi"/>
          <w:sz w:val="24"/>
          <w:szCs w:val="24"/>
        </w:rPr>
        <w:t xml:space="preserve"> and a video. The campaign </w:t>
      </w:r>
      <w:r w:rsidR="000B4514" w:rsidRPr="00F35E59">
        <w:rPr>
          <w:rFonts w:cstheme="minorHAnsi"/>
          <w:sz w:val="24"/>
          <w:szCs w:val="24"/>
        </w:rPr>
        <w:t xml:space="preserve">included a detailed website </w:t>
      </w:r>
      <w:r w:rsidR="003F36B4" w:rsidRPr="00F35E59">
        <w:rPr>
          <w:rFonts w:cstheme="minorHAnsi"/>
          <w:sz w:val="24"/>
          <w:szCs w:val="24"/>
        </w:rPr>
        <w:t>and campaign resource pack for leaders and line managers</w:t>
      </w:r>
      <w:r w:rsidR="00CF2A4D" w:rsidRPr="00F35E59">
        <w:rPr>
          <w:rFonts w:cstheme="minorHAnsi"/>
          <w:sz w:val="24"/>
          <w:szCs w:val="24"/>
        </w:rPr>
        <w:t>, these included:</w:t>
      </w:r>
    </w:p>
    <w:p w14:paraId="246FD2BE" w14:textId="69985D72" w:rsidR="00CF2A4D" w:rsidRPr="00F35E59" w:rsidRDefault="00B3291F" w:rsidP="00EA5625">
      <w:pPr>
        <w:pStyle w:val="ListParagraph"/>
        <w:numPr>
          <w:ilvl w:val="0"/>
          <w:numId w:val="17"/>
        </w:numPr>
        <w:rPr>
          <w:rFonts w:cstheme="minorHAnsi"/>
          <w:sz w:val="24"/>
          <w:szCs w:val="24"/>
        </w:rPr>
      </w:pPr>
      <w:r w:rsidRPr="00F35E59">
        <w:rPr>
          <w:rFonts w:cstheme="minorHAnsi"/>
          <w:sz w:val="24"/>
          <w:szCs w:val="24"/>
        </w:rPr>
        <w:t>How to report racial harassment</w:t>
      </w:r>
      <w:r w:rsidR="00EA5625" w:rsidRPr="00F35E59">
        <w:rPr>
          <w:rFonts w:cstheme="minorHAnsi"/>
          <w:sz w:val="24"/>
          <w:szCs w:val="24"/>
        </w:rPr>
        <w:t>.</w:t>
      </w:r>
    </w:p>
    <w:p w14:paraId="517CF657" w14:textId="3326F455" w:rsidR="00EB00A5" w:rsidRPr="00F35E59" w:rsidRDefault="00EB00A5" w:rsidP="00EA5625">
      <w:pPr>
        <w:pStyle w:val="ListParagraph"/>
        <w:numPr>
          <w:ilvl w:val="0"/>
          <w:numId w:val="17"/>
        </w:numPr>
        <w:rPr>
          <w:rFonts w:cstheme="minorHAnsi"/>
          <w:sz w:val="24"/>
          <w:szCs w:val="24"/>
        </w:rPr>
      </w:pPr>
      <w:r w:rsidRPr="00F35E59">
        <w:rPr>
          <w:rFonts w:cstheme="minorHAnsi"/>
          <w:sz w:val="24"/>
          <w:szCs w:val="24"/>
        </w:rPr>
        <w:t>What are microaggressions</w:t>
      </w:r>
      <w:r w:rsidR="00EA5625" w:rsidRPr="00F35E59">
        <w:rPr>
          <w:rFonts w:cstheme="minorHAnsi"/>
          <w:sz w:val="24"/>
          <w:szCs w:val="24"/>
        </w:rPr>
        <w:t>.</w:t>
      </w:r>
    </w:p>
    <w:p w14:paraId="2F0D35B5" w14:textId="35830CC3" w:rsidR="00EB00A5" w:rsidRPr="00F35E59" w:rsidRDefault="00EB00A5" w:rsidP="00EA5625">
      <w:pPr>
        <w:pStyle w:val="ListParagraph"/>
        <w:numPr>
          <w:ilvl w:val="0"/>
          <w:numId w:val="17"/>
        </w:numPr>
        <w:rPr>
          <w:rFonts w:cstheme="minorHAnsi"/>
          <w:sz w:val="24"/>
          <w:szCs w:val="24"/>
        </w:rPr>
      </w:pPr>
      <w:r w:rsidRPr="00F35E59">
        <w:rPr>
          <w:rFonts w:cstheme="minorHAnsi"/>
          <w:sz w:val="24"/>
          <w:szCs w:val="24"/>
        </w:rPr>
        <w:t>Allyship and how to be an active bystander</w:t>
      </w:r>
      <w:r w:rsidR="00EA5625" w:rsidRPr="00F35E59">
        <w:rPr>
          <w:rFonts w:cstheme="minorHAnsi"/>
          <w:sz w:val="24"/>
          <w:szCs w:val="24"/>
        </w:rPr>
        <w:t>.</w:t>
      </w:r>
    </w:p>
    <w:p w14:paraId="416E44CE" w14:textId="6CCDFE0F" w:rsidR="00EB00A5" w:rsidRPr="00F35E59" w:rsidRDefault="00EB00A5" w:rsidP="00EA5625">
      <w:pPr>
        <w:pStyle w:val="ListParagraph"/>
        <w:numPr>
          <w:ilvl w:val="0"/>
          <w:numId w:val="17"/>
        </w:numPr>
        <w:rPr>
          <w:rFonts w:cstheme="minorHAnsi"/>
          <w:sz w:val="24"/>
          <w:szCs w:val="24"/>
        </w:rPr>
      </w:pPr>
      <w:r w:rsidRPr="00F35E59">
        <w:rPr>
          <w:rFonts w:cstheme="minorHAnsi"/>
          <w:sz w:val="24"/>
          <w:szCs w:val="24"/>
        </w:rPr>
        <w:t>Rac</w:t>
      </w:r>
      <w:r w:rsidR="00F5310F" w:rsidRPr="00F35E59">
        <w:rPr>
          <w:rFonts w:cstheme="minorHAnsi"/>
          <w:sz w:val="24"/>
          <w:szCs w:val="24"/>
        </w:rPr>
        <w:t>e L</w:t>
      </w:r>
      <w:r w:rsidR="004256F5" w:rsidRPr="00F35E59">
        <w:rPr>
          <w:rFonts w:cstheme="minorHAnsi"/>
          <w:sz w:val="24"/>
          <w:szCs w:val="24"/>
        </w:rPr>
        <w:t>iteracy Glossary</w:t>
      </w:r>
      <w:r w:rsidR="00EA5625" w:rsidRPr="00F35E59">
        <w:rPr>
          <w:rFonts w:cstheme="minorHAnsi"/>
          <w:sz w:val="24"/>
          <w:szCs w:val="24"/>
        </w:rPr>
        <w:t>.</w:t>
      </w:r>
    </w:p>
    <w:p w14:paraId="33600476" w14:textId="32C2DDAA" w:rsidR="004256F5" w:rsidRPr="00F35E59" w:rsidRDefault="00606830" w:rsidP="00EA5625">
      <w:pPr>
        <w:pStyle w:val="ListParagraph"/>
        <w:numPr>
          <w:ilvl w:val="0"/>
          <w:numId w:val="17"/>
        </w:numPr>
        <w:rPr>
          <w:rFonts w:cstheme="minorHAnsi"/>
          <w:sz w:val="24"/>
          <w:szCs w:val="24"/>
        </w:rPr>
      </w:pPr>
      <w:r w:rsidRPr="00F35E59">
        <w:rPr>
          <w:rFonts w:cstheme="minorHAnsi"/>
          <w:sz w:val="24"/>
          <w:szCs w:val="24"/>
        </w:rPr>
        <w:t>Templates for communications from leaders, managers and supervisors</w:t>
      </w:r>
      <w:r w:rsidR="00EA5625" w:rsidRPr="00F35E59">
        <w:rPr>
          <w:rFonts w:cstheme="minorHAnsi"/>
          <w:sz w:val="24"/>
          <w:szCs w:val="24"/>
        </w:rPr>
        <w:t>.</w:t>
      </w:r>
    </w:p>
    <w:p w14:paraId="03BF33CF" w14:textId="3FCCCE08" w:rsidR="0033508E" w:rsidRPr="00F35E59" w:rsidRDefault="0033508E" w:rsidP="00EA5625">
      <w:pPr>
        <w:pStyle w:val="ListParagraph"/>
        <w:numPr>
          <w:ilvl w:val="0"/>
          <w:numId w:val="17"/>
        </w:numPr>
        <w:rPr>
          <w:rFonts w:cstheme="minorHAnsi"/>
          <w:sz w:val="24"/>
          <w:szCs w:val="24"/>
        </w:rPr>
      </w:pPr>
      <w:r w:rsidRPr="00F35E59">
        <w:rPr>
          <w:rFonts w:cstheme="minorHAnsi"/>
          <w:sz w:val="24"/>
          <w:szCs w:val="24"/>
        </w:rPr>
        <w:t>Conversation guides for teams to discuss race and racism.</w:t>
      </w:r>
    </w:p>
    <w:p w14:paraId="7BDADB4A" w14:textId="4586094D" w:rsidR="007630A2" w:rsidRPr="00F35E59" w:rsidRDefault="007630A2" w:rsidP="007630A2">
      <w:pPr>
        <w:rPr>
          <w:rFonts w:cstheme="minorHAnsi"/>
          <w:sz w:val="24"/>
          <w:szCs w:val="24"/>
        </w:rPr>
      </w:pPr>
      <w:r w:rsidRPr="00F35E59">
        <w:rPr>
          <w:rFonts w:cstheme="minorHAnsi"/>
          <w:sz w:val="24"/>
          <w:szCs w:val="24"/>
        </w:rPr>
        <w:t xml:space="preserve">The response internally and externally has been overall positive, </w:t>
      </w:r>
      <w:r w:rsidR="00326BFB" w:rsidRPr="00F35E59">
        <w:rPr>
          <w:rFonts w:cstheme="minorHAnsi"/>
          <w:sz w:val="24"/>
          <w:szCs w:val="24"/>
        </w:rPr>
        <w:t xml:space="preserve">with good interactions </w:t>
      </w:r>
      <w:r w:rsidR="00B017AD" w:rsidRPr="00F35E59">
        <w:rPr>
          <w:rFonts w:cstheme="minorHAnsi"/>
          <w:sz w:val="24"/>
          <w:szCs w:val="24"/>
        </w:rPr>
        <w:t xml:space="preserve">on social media (see table </w:t>
      </w:r>
      <w:r w:rsidR="00EC7C9A">
        <w:rPr>
          <w:rFonts w:cstheme="minorHAnsi"/>
          <w:sz w:val="24"/>
          <w:szCs w:val="24"/>
        </w:rPr>
        <w:t>1</w:t>
      </w:r>
      <w:r w:rsidR="00B017AD" w:rsidRPr="00F35E59">
        <w:rPr>
          <w:rFonts w:cstheme="minorHAnsi"/>
          <w:sz w:val="24"/>
          <w:szCs w:val="24"/>
        </w:rPr>
        <w:t xml:space="preserve"> below)</w:t>
      </w:r>
      <w:r w:rsidR="000F1B9C" w:rsidRPr="00F35E59">
        <w:rPr>
          <w:rFonts w:cstheme="minorHAnsi"/>
          <w:sz w:val="24"/>
          <w:szCs w:val="24"/>
        </w:rPr>
        <w:t xml:space="preserve"> and </w:t>
      </w:r>
      <w:r w:rsidR="00B40F04" w:rsidRPr="00F35E59">
        <w:rPr>
          <w:rFonts w:cstheme="minorHAnsi"/>
          <w:sz w:val="24"/>
          <w:szCs w:val="24"/>
        </w:rPr>
        <w:t>the website has received over 5000 unique views</w:t>
      </w:r>
      <w:r w:rsidR="00F3282E" w:rsidRPr="00F35E59">
        <w:rPr>
          <w:rFonts w:cstheme="minorHAnsi"/>
          <w:sz w:val="24"/>
          <w:szCs w:val="24"/>
        </w:rPr>
        <w:t xml:space="preserve"> since the start of the campaign.</w:t>
      </w:r>
    </w:p>
    <w:p w14:paraId="7096B7F9" w14:textId="55CF6BE3" w:rsidR="00B017AD" w:rsidRPr="00547525" w:rsidRDefault="00F5564A" w:rsidP="007630A2">
      <w:pPr>
        <w:rPr>
          <w:rFonts w:cstheme="minorHAnsi"/>
          <w:b/>
          <w:bCs/>
          <w:sz w:val="24"/>
          <w:szCs w:val="24"/>
        </w:rPr>
      </w:pPr>
      <w:r w:rsidRPr="00547525">
        <w:rPr>
          <w:rFonts w:cstheme="minorHAnsi"/>
          <w:b/>
          <w:bCs/>
          <w:sz w:val="24"/>
          <w:szCs w:val="24"/>
        </w:rPr>
        <w:t xml:space="preserve">Table </w:t>
      </w:r>
      <w:r w:rsidR="00EC7C9A" w:rsidRPr="00547525">
        <w:rPr>
          <w:rFonts w:cstheme="minorHAnsi"/>
          <w:b/>
          <w:bCs/>
          <w:sz w:val="24"/>
          <w:szCs w:val="24"/>
        </w:rPr>
        <w:t>1</w:t>
      </w:r>
      <w:r w:rsidRPr="00547525">
        <w:rPr>
          <w:rFonts w:cstheme="minorHAnsi"/>
          <w:b/>
          <w:bCs/>
          <w:sz w:val="24"/>
          <w:szCs w:val="24"/>
        </w:rPr>
        <w:t xml:space="preserve"> – Social Media </w:t>
      </w:r>
      <w:r w:rsidR="00A0616A" w:rsidRPr="00547525">
        <w:rPr>
          <w:rFonts w:cstheme="minorHAnsi"/>
          <w:b/>
          <w:bCs/>
          <w:sz w:val="24"/>
          <w:szCs w:val="24"/>
        </w:rPr>
        <w:t>interactions from the 31 October 2022</w:t>
      </w:r>
      <w:r w:rsidR="0034523B" w:rsidRPr="00547525">
        <w:rPr>
          <w:rFonts w:cstheme="minorHAnsi"/>
          <w:b/>
          <w:bCs/>
          <w:sz w:val="24"/>
          <w:szCs w:val="24"/>
        </w:rPr>
        <w:t xml:space="preserve"> – 19 January 2023</w:t>
      </w:r>
    </w:p>
    <w:tbl>
      <w:tblPr>
        <w:tblStyle w:val="TableGrid"/>
        <w:tblW w:w="0" w:type="auto"/>
        <w:tblLook w:val="04A0" w:firstRow="1" w:lastRow="0" w:firstColumn="1" w:lastColumn="0" w:noHBand="0" w:noVBand="1"/>
      </w:tblPr>
      <w:tblGrid>
        <w:gridCol w:w="1785"/>
        <w:gridCol w:w="1785"/>
        <w:gridCol w:w="1785"/>
        <w:gridCol w:w="1785"/>
        <w:gridCol w:w="1786"/>
      </w:tblGrid>
      <w:tr w:rsidR="00F35E59" w:rsidRPr="001E17CD" w14:paraId="7E56266E" w14:textId="77777777">
        <w:tc>
          <w:tcPr>
            <w:tcW w:w="1785" w:type="dxa"/>
          </w:tcPr>
          <w:p w14:paraId="0A90C0CD" w14:textId="77777777" w:rsidR="001E17CD" w:rsidRPr="001E17CD" w:rsidRDefault="001E17CD" w:rsidP="001E17CD">
            <w:pPr>
              <w:spacing w:after="160" w:line="259" w:lineRule="auto"/>
              <w:rPr>
                <w:rFonts w:cstheme="minorHAnsi"/>
                <w:b/>
                <w:bCs/>
                <w:sz w:val="24"/>
                <w:szCs w:val="24"/>
              </w:rPr>
            </w:pPr>
            <w:r w:rsidRPr="001E17CD">
              <w:rPr>
                <w:rFonts w:cstheme="minorHAnsi"/>
                <w:b/>
                <w:bCs/>
                <w:sz w:val="24"/>
                <w:szCs w:val="24"/>
              </w:rPr>
              <w:t>Impact</w:t>
            </w:r>
          </w:p>
        </w:tc>
        <w:tc>
          <w:tcPr>
            <w:tcW w:w="1785" w:type="dxa"/>
          </w:tcPr>
          <w:p w14:paraId="6E41372F" w14:textId="77777777" w:rsidR="001E17CD" w:rsidRPr="001E17CD" w:rsidRDefault="001E17CD" w:rsidP="001E17CD">
            <w:pPr>
              <w:spacing w:after="160" w:line="259" w:lineRule="auto"/>
              <w:rPr>
                <w:rFonts w:cstheme="minorHAnsi"/>
                <w:b/>
                <w:bCs/>
                <w:sz w:val="24"/>
                <w:szCs w:val="24"/>
              </w:rPr>
            </w:pPr>
            <w:r w:rsidRPr="001E17CD">
              <w:rPr>
                <w:rFonts w:cstheme="minorHAnsi"/>
                <w:b/>
                <w:bCs/>
                <w:sz w:val="24"/>
                <w:szCs w:val="24"/>
              </w:rPr>
              <w:t>Twitter</w:t>
            </w:r>
          </w:p>
        </w:tc>
        <w:tc>
          <w:tcPr>
            <w:tcW w:w="1785" w:type="dxa"/>
          </w:tcPr>
          <w:p w14:paraId="56EF078D" w14:textId="77777777" w:rsidR="001E17CD" w:rsidRPr="001E17CD" w:rsidRDefault="001E17CD" w:rsidP="001E17CD">
            <w:pPr>
              <w:spacing w:after="160" w:line="259" w:lineRule="auto"/>
              <w:rPr>
                <w:rFonts w:cstheme="minorHAnsi"/>
                <w:sz w:val="24"/>
                <w:szCs w:val="24"/>
              </w:rPr>
            </w:pPr>
            <w:r w:rsidRPr="001E17CD">
              <w:rPr>
                <w:rFonts w:cstheme="minorHAnsi"/>
                <w:b/>
                <w:bCs/>
                <w:sz w:val="24"/>
                <w:szCs w:val="24"/>
              </w:rPr>
              <w:t>Facebook</w:t>
            </w:r>
          </w:p>
        </w:tc>
        <w:tc>
          <w:tcPr>
            <w:tcW w:w="1785" w:type="dxa"/>
          </w:tcPr>
          <w:p w14:paraId="2B018145" w14:textId="77777777" w:rsidR="001E17CD" w:rsidRPr="001E17CD" w:rsidRDefault="001E17CD" w:rsidP="001E17CD">
            <w:pPr>
              <w:spacing w:after="160" w:line="259" w:lineRule="auto"/>
              <w:rPr>
                <w:rFonts w:cstheme="minorHAnsi"/>
                <w:b/>
                <w:bCs/>
                <w:sz w:val="24"/>
                <w:szCs w:val="24"/>
              </w:rPr>
            </w:pPr>
            <w:r w:rsidRPr="001E17CD">
              <w:rPr>
                <w:rFonts w:cstheme="minorHAnsi"/>
                <w:b/>
                <w:bCs/>
                <w:sz w:val="24"/>
                <w:szCs w:val="24"/>
              </w:rPr>
              <w:t>Instagram</w:t>
            </w:r>
          </w:p>
        </w:tc>
        <w:tc>
          <w:tcPr>
            <w:tcW w:w="1786" w:type="dxa"/>
          </w:tcPr>
          <w:p w14:paraId="73C8EDC2" w14:textId="77777777" w:rsidR="001E17CD" w:rsidRPr="001E17CD" w:rsidRDefault="001E17CD" w:rsidP="001E17CD">
            <w:pPr>
              <w:spacing w:after="160" w:line="259" w:lineRule="auto"/>
              <w:rPr>
                <w:rFonts w:cstheme="minorHAnsi"/>
                <w:sz w:val="24"/>
                <w:szCs w:val="24"/>
              </w:rPr>
            </w:pPr>
            <w:r w:rsidRPr="001E17CD">
              <w:rPr>
                <w:rFonts w:cstheme="minorHAnsi"/>
                <w:b/>
                <w:bCs/>
                <w:sz w:val="24"/>
                <w:szCs w:val="24"/>
              </w:rPr>
              <w:t>LinkedIn</w:t>
            </w:r>
          </w:p>
        </w:tc>
      </w:tr>
      <w:tr w:rsidR="00F35E59" w:rsidRPr="001E17CD" w14:paraId="067B3BB4" w14:textId="77777777">
        <w:tc>
          <w:tcPr>
            <w:tcW w:w="1785" w:type="dxa"/>
          </w:tcPr>
          <w:p w14:paraId="4A0D4D03"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Reach</w:t>
            </w:r>
          </w:p>
        </w:tc>
        <w:tc>
          <w:tcPr>
            <w:tcW w:w="1785" w:type="dxa"/>
          </w:tcPr>
          <w:p w14:paraId="7B503A16"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105,000</w:t>
            </w:r>
          </w:p>
        </w:tc>
        <w:tc>
          <w:tcPr>
            <w:tcW w:w="1785" w:type="dxa"/>
          </w:tcPr>
          <w:p w14:paraId="4FD16191"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20,000</w:t>
            </w:r>
          </w:p>
        </w:tc>
        <w:tc>
          <w:tcPr>
            <w:tcW w:w="1785" w:type="dxa"/>
          </w:tcPr>
          <w:p w14:paraId="2E98D005"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52,000</w:t>
            </w:r>
          </w:p>
        </w:tc>
        <w:tc>
          <w:tcPr>
            <w:tcW w:w="1786" w:type="dxa"/>
          </w:tcPr>
          <w:p w14:paraId="37710936"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69,600</w:t>
            </w:r>
          </w:p>
        </w:tc>
      </w:tr>
      <w:tr w:rsidR="00F35E59" w:rsidRPr="001E17CD" w14:paraId="751FA822" w14:textId="77777777">
        <w:tc>
          <w:tcPr>
            <w:tcW w:w="1785" w:type="dxa"/>
          </w:tcPr>
          <w:p w14:paraId="40AE2F20"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Engagements</w:t>
            </w:r>
          </w:p>
        </w:tc>
        <w:tc>
          <w:tcPr>
            <w:tcW w:w="1785" w:type="dxa"/>
          </w:tcPr>
          <w:p w14:paraId="7552A415"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3,300</w:t>
            </w:r>
          </w:p>
        </w:tc>
        <w:tc>
          <w:tcPr>
            <w:tcW w:w="1785" w:type="dxa"/>
          </w:tcPr>
          <w:p w14:paraId="7E6DA213"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2,100</w:t>
            </w:r>
          </w:p>
        </w:tc>
        <w:tc>
          <w:tcPr>
            <w:tcW w:w="1785" w:type="dxa"/>
          </w:tcPr>
          <w:p w14:paraId="4EEFBB32"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2,600</w:t>
            </w:r>
          </w:p>
        </w:tc>
        <w:tc>
          <w:tcPr>
            <w:tcW w:w="1786" w:type="dxa"/>
          </w:tcPr>
          <w:p w14:paraId="5DED5696"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2,300</w:t>
            </w:r>
          </w:p>
        </w:tc>
      </w:tr>
      <w:tr w:rsidR="00F35E59" w:rsidRPr="001E17CD" w14:paraId="742DA6DC" w14:textId="77777777">
        <w:tc>
          <w:tcPr>
            <w:tcW w:w="1785" w:type="dxa"/>
          </w:tcPr>
          <w:p w14:paraId="5A8212EA"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Video views</w:t>
            </w:r>
          </w:p>
        </w:tc>
        <w:tc>
          <w:tcPr>
            <w:tcW w:w="1785" w:type="dxa"/>
          </w:tcPr>
          <w:p w14:paraId="4B1C90DF"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12,500 +</w:t>
            </w:r>
          </w:p>
        </w:tc>
        <w:tc>
          <w:tcPr>
            <w:tcW w:w="1785" w:type="dxa"/>
          </w:tcPr>
          <w:p w14:paraId="21EE8A23"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4,700</w:t>
            </w:r>
          </w:p>
        </w:tc>
        <w:tc>
          <w:tcPr>
            <w:tcW w:w="1785" w:type="dxa"/>
          </w:tcPr>
          <w:p w14:paraId="5736335C"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45,000</w:t>
            </w:r>
          </w:p>
        </w:tc>
        <w:tc>
          <w:tcPr>
            <w:tcW w:w="1786" w:type="dxa"/>
          </w:tcPr>
          <w:p w14:paraId="555D37AC" w14:textId="77777777" w:rsidR="001E17CD" w:rsidRPr="001E17CD" w:rsidRDefault="001E17CD" w:rsidP="001E17CD">
            <w:pPr>
              <w:spacing w:after="160" w:line="259" w:lineRule="auto"/>
              <w:rPr>
                <w:rFonts w:cstheme="minorHAnsi"/>
                <w:sz w:val="24"/>
                <w:szCs w:val="24"/>
              </w:rPr>
            </w:pPr>
            <w:r w:rsidRPr="001E17CD">
              <w:rPr>
                <w:rFonts w:cstheme="minorHAnsi"/>
                <w:sz w:val="24"/>
                <w:szCs w:val="24"/>
              </w:rPr>
              <w:t>20,200</w:t>
            </w:r>
          </w:p>
        </w:tc>
      </w:tr>
    </w:tbl>
    <w:p w14:paraId="2D25046D" w14:textId="77777777" w:rsidR="008715A5" w:rsidRDefault="008715A5" w:rsidP="00C92BA4">
      <w:pPr>
        <w:rPr>
          <w:rFonts w:cstheme="minorHAnsi"/>
          <w:color w:val="FF0000"/>
          <w:sz w:val="24"/>
          <w:szCs w:val="24"/>
        </w:rPr>
      </w:pPr>
    </w:p>
    <w:p w14:paraId="64E1787B" w14:textId="516F8B94" w:rsidR="009F1E3E" w:rsidRPr="007B63E8" w:rsidRDefault="009F1E3E" w:rsidP="00C92BA4">
      <w:pPr>
        <w:rPr>
          <w:rFonts w:cstheme="minorHAnsi"/>
          <w:sz w:val="24"/>
          <w:szCs w:val="24"/>
        </w:rPr>
      </w:pPr>
      <w:r w:rsidRPr="009533B2">
        <w:rPr>
          <w:rFonts w:cstheme="minorHAnsi"/>
          <w:b/>
          <w:bCs/>
          <w:sz w:val="24"/>
          <w:szCs w:val="24"/>
        </w:rPr>
        <w:t>6.1.</w:t>
      </w:r>
      <w:r w:rsidR="007B63E8" w:rsidRPr="009533B2">
        <w:rPr>
          <w:rFonts w:cstheme="minorHAnsi"/>
          <w:b/>
          <w:bCs/>
          <w:sz w:val="24"/>
          <w:szCs w:val="24"/>
        </w:rPr>
        <w:t>4</w:t>
      </w:r>
      <w:r w:rsidRPr="007B63E8">
        <w:rPr>
          <w:rFonts w:cstheme="minorHAnsi"/>
          <w:sz w:val="24"/>
          <w:szCs w:val="24"/>
        </w:rPr>
        <w:t xml:space="preserve"> </w:t>
      </w:r>
      <w:r w:rsidR="008D0AAE">
        <w:rPr>
          <w:rFonts w:cstheme="minorHAnsi"/>
          <w:sz w:val="24"/>
          <w:szCs w:val="24"/>
        </w:rPr>
        <w:t>In 2022, t</w:t>
      </w:r>
      <w:r w:rsidRPr="007B63E8">
        <w:rPr>
          <w:rFonts w:cstheme="minorHAnsi"/>
          <w:sz w:val="24"/>
          <w:szCs w:val="24"/>
        </w:rPr>
        <w:t xml:space="preserve">he University requested training from the National Union of Jewish Students on </w:t>
      </w:r>
      <w:r w:rsidR="00785247" w:rsidRPr="007B63E8">
        <w:rPr>
          <w:rFonts w:cstheme="minorHAnsi"/>
          <w:sz w:val="24"/>
          <w:szCs w:val="24"/>
        </w:rPr>
        <w:t>antisemitism</w:t>
      </w:r>
      <w:r w:rsidRPr="007B63E8">
        <w:rPr>
          <w:rFonts w:cstheme="minorHAnsi"/>
          <w:sz w:val="24"/>
          <w:szCs w:val="24"/>
        </w:rPr>
        <w:t xml:space="preserve">. This was offered by the student </w:t>
      </w:r>
      <w:r w:rsidR="00785247" w:rsidRPr="007B63E8">
        <w:rPr>
          <w:rFonts w:cstheme="minorHAnsi"/>
          <w:sz w:val="24"/>
          <w:szCs w:val="24"/>
        </w:rPr>
        <w:t>union and</w:t>
      </w:r>
      <w:r w:rsidRPr="007B63E8">
        <w:rPr>
          <w:rFonts w:cstheme="minorHAnsi"/>
          <w:sz w:val="24"/>
          <w:szCs w:val="24"/>
        </w:rPr>
        <w:t xml:space="preserve"> was prioritised with the growing concern of the </w:t>
      </w:r>
      <w:r w:rsidR="00785247" w:rsidRPr="007B63E8">
        <w:rPr>
          <w:rFonts w:cstheme="minorHAnsi"/>
          <w:sz w:val="24"/>
          <w:szCs w:val="24"/>
        </w:rPr>
        <w:t>Jewish</w:t>
      </w:r>
      <w:r w:rsidRPr="007B63E8">
        <w:rPr>
          <w:rFonts w:cstheme="minorHAnsi"/>
          <w:sz w:val="24"/>
          <w:szCs w:val="24"/>
        </w:rPr>
        <w:t xml:space="preserve"> student community about a growth of anti-</w:t>
      </w:r>
      <w:r w:rsidR="00785247" w:rsidRPr="007B63E8">
        <w:rPr>
          <w:rFonts w:cstheme="minorHAnsi"/>
          <w:sz w:val="24"/>
          <w:szCs w:val="24"/>
        </w:rPr>
        <w:t>Semitic</w:t>
      </w:r>
      <w:r w:rsidRPr="007B63E8">
        <w:rPr>
          <w:rFonts w:cstheme="minorHAnsi"/>
          <w:sz w:val="24"/>
          <w:szCs w:val="24"/>
        </w:rPr>
        <w:t xml:space="preserve"> events across campuses in the UK. This was delivered to a </w:t>
      </w:r>
      <w:r w:rsidR="00785247" w:rsidRPr="007B63E8">
        <w:rPr>
          <w:rFonts w:cstheme="minorHAnsi"/>
          <w:sz w:val="24"/>
          <w:szCs w:val="24"/>
        </w:rPr>
        <w:t>wide-ranging</w:t>
      </w:r>
      <w:r w:rsidRPr="007B63E8">
        <w:rPr>
          <w:rFonts w:cstheme="minorHAnsi"/>
          <w:sz w:val="24"/>
          <w:szCs w:val="24"/>
        </w:rPr>
        <w:t xml:space="preserve"> audience, including senior</w:t>
      </w:r>
      <w:r w:rsidR="001A4266" w:rsidRPr="007B63E8">
        <w:rPr>
          <w:rFonts w:cstheme="minorHAnsi"/>
          <w:sz w:val="24"/>
          <w:szCs w:val="24"/>
        </w:rPr>
        <w:t xml:space="preserve"> leaders, </w:t>
      </w:r>
      <w:r w:rsidR="008D0AAE">
        <w:rPr>
          <w:rFonts w:cstheme="minorHAnsi"/>
          <w:sz w:val="24"/>
          <w:szCs w:val="24"/>
        </w:rPr>
        <w:t>POD</w:t>
      </w:r>
      <w:r w:rsidR="007932C7" w:rsidRPr="007B63E8">
        <w:rPr>
          <w:rFonts w:cstheme="minorHAnsi"/>
          <w:sz w:val="24"/>
          <w:szCs w:val="24"/>
        </w:rPr>
        <w:t xml:space="preserve"> colleagues, </w:t>
      </w:r>
      <w:r w:rsidR="00CF1331" w:rsidRPr="007B63E8">
        <w:rPr>
          <w:rFonts w:cstheme="minorHAnsi"/>
          <w:sz w:val="24"/>
          <w:szCs w:val="24"/>
        </w:rPr>
        <w:t xml:space="preserve">Student </w:t>
      </w:r>
      <w:r w:rsidR="00785247" w:rsidRPr="007B63E8">
        <w:rPr>
          <w:rFonts w:cstheme="minorHAnsi"/>
          <w:sz w:val="24"/>
          <w:szCs w:val="24"/>
        </w:rPr>
        <w:t>and Academic Services (including Student Services, Conduct and Complaints) colleagues</w:t>
      </w:r>
      <w:r w:rsidR="00384AA6">
        <w:rPr>
          <w:rFonts w:cstheme="minorHAnsi"/>
          <w:sz w:val="24"/>
          <w:szCs w:val="24"/>
        </w:rPr>
        <w:t>, Security colleagues</w:t>
      </w:r>
      <w:r w:rsidR="00785247" w:rsidRPr="007B63E8">
        <w:rPr>
          <w:rFonts w:cstheme="minorHAnsi"/>
          <w:sz w:val="24"/>
          <w:szCs w:val="24"/>
        </w:rPr>
        <w:t xml:space="preserve"> and the Equality and Diversity Unit. The training including the difference between </w:t>
      </w:r>
      <w:r w:rsidR="007B63E8" w:rsidRPr="007B63E8">
        <w:rPr>
          <w:rFonts w:cstheme="minorHAnsi"/>
          <w:sz w:val="24"/>
          <w:szCs w:val="24"/>
        </w:rPr>
        <w:t>antisemitism</w:t>
      </w:r>
      <w:r w:rsidR="00785247" w:rsidRPr="007B63E8">
        <w:rPr>
          <w:rFonts w:cstheme="minorHAnsi"/>
          <w:sz w:val="24"/>
          <w:szCs w:val="24"/>
        </w:rPr>
        <w:t xml:space="preserve"> and legitimate criticism of Israeli </w:t>
      </w:r>
      <w:r w:rsidR="001053AB" w:rsidRPr="007B63E8">
        <w:rPr>
          <w:rFonts w:cstheme="minorHAnsi"/>
          <w:sz w:val="24"/>
          <w:szCs w:val="24"/>
        </w:rPr>
        <w:t>Government policy</w:t>
      </w:r>
      <w:r w:rsidR="00D67380" w:rsidRPr="007B63E8">
        <w:rPr>
          <w:rFonts w:cstheme="minorHAnsi"/>
          <w:sz w:val="24"/>
          <w:szCs w:val="24"/>
        </w:rPr>
        <w:t xml:space="preserve">, historic </w:t>
      </w:r>
      <w:r w:rsidR="00D72417" w:rsidRPr="007B63E8">
        <w:rPr>
          <w:rFonts w:cstheme="minorHAnsi"/>
          <w:sz w:val="24"/>
          <w:szCs w:val="24"/>
        </w:rPr>
        <w:t>antisemitism,</w:t>
      </w:r>
      <w:r w:rsidR="007B63E8" w:rsidRPr="007B63E8">
        <w:rPr>
          <w:rFonts w:cstheme="minorHAnsi"/>
          <w:sz w:val="24"/>
          <w:szCs w:val="24"/>
        </w:rPr>
        <w:t xml:space="preserve"> and definitions such as blood libel.</w:t>
      </w:r>
    </w:p>
    <w:p w14:paraId="407D3361" w14:textId="366432A1" w:rsidR="00981CD7" w:rsidRPr="000B18F7" w:rsidRDefault="002C6519" w:rsidP="00C92BA4">
      <w:pPr>
        <w:rPr>
          <w:rFonts w:cstheme="minorHAnsi"/>
          <w:sz w:val="24"/>
          <w:szCs w:val="24"/>
        </w:rPr>
      </w:pPr>
      <w:r w:rsidRPr="00397AC9">
        <w:rPr>
          <w:rFonts w:cstheme="minorHAnsi"/>
          <w:b/>
          <w:bCs/>
          <w:sz w:val="24"/>
          <w:szCs w:val="24"/>
        </w:rPr>
        <w:t>6.1.</w:t>
      </w:r>
      <w:r w:rsidR="009F1E3E" w:rsidRPr="00397AC9">
        <w:rPr>
          <w:rFonts w:cstheme="minorHAnsi"/>
          <w:b/>
          <w:bCs/>
          <w:sz w:val="24"/>
          <w:szCs w:val="24"/>
        </w:rPr>
        <w:t>5</w:t>
      </w:r>
      <w:r>
        <w:rPr>
          <w:rFonts w:cstheme="minorHAnsi"/>
          <w:sz w:val="24"/>
          <w:szCs w:val="24"/>
        </w:rPr>
        <w:t xml:space="preserve"> </w:t>
      </w:r>
      <w:r w:rsidR="008715A5" w:rsidRPr="000B18F7">
        <w:rPr>
          <w:rFonts w:cstheme="minorHAnsi"/>
          <w:sz w:val="24"/>
          <w:szCs w:val="24"/>
        </w:rPr>
        <w:t xml:space="preserve">The University has </w:t>
      </w:r>
      <w:r w:rsidR="00922BBB" w:rsidRPr="000B18F7">
        <w:rPr>
          <w:rFonts w:cstheme="minorHAnsi"/>
          <w:sz w:val="24"/>
          <w:szCs w:val="24"/>
        </w:rPr>
        <w:t xml:space="preserve">developed a </w:t>
      </w:r>
      <w:hyperlink r:id="rId16" w:history="1">
        <w:r w:rsidR="00981CD7" w:rsidRPr="00124429">
          <w:rPr>
            <w:rStyle w:val="Hyperlink"/>
            <w:rFonts w:cstheme="minorHAnsi"/>
            <w:color w:val="0070C0"/>
            <w:sz w:val="24"/>
            <w:szCs w:val="24"/>
          </w:rPr>
          <w:t>Code of Professional Conduct</w:t>
        </w:r>
      </w:hyperlink>
      <w:r w:rsidR="00922BBB" w:rsidRPr="000B18F7">
        <w:rPr>
          <w:rFonts w:cstheme="minorHAnsi"/>
          <w:sz w:val="24"/>
          <w:szCs w:val="24"/>
        </w:rPr>
        <w:t xml:space="preserve"> for colleagues, this </w:t>
      </w:r>
      <w:r w:rsidR="00982D13" w:rsidRPr="000B18F7">
        <w:rPr>
          <w:rFonts w:cstheme="minorHAnsi"/>
          <w:sz w:val="24"/>
          <w:szCs w:val="24"/>
        </w:rPr>
        <w:t>aligns</w:t>
      </w:r>
      <w:r w:rsidR="00922BBB" w:rsidRPr="000B18F7">
        <w:rPr>
          <w:rFonts w:cstheme="minorHAnsi"/>
          <w:sz w:val="24"/>
          <w:szCs w:val="24"/>
        </w:rPr>
        <w:t xml:space="preserve"> with our University values, and emphasis</w:t>
      </w:r>
      <w:r w:rsidR="003D2170" w:rsidRPr="000B18F7">
        <w:rPr>
          <w:rFonts w:cstheme="minorHAnsi"/>
          <w:sz w:val="24"/>
          <w:szCs w:val="24"/>
        </w:rPr>
        <w:t xml:space="preserve">es the expected standards of behaviour of our colleagues. </w:t>
      </w:r>
      <w:r w:rsidR="00F670A6" w:rsidRPr="000B18F7">
        <w:rPr>
          <w:rFonts w:cstheme="minorHAnsi"/>
          <w:sz w:val="24"/>
          <w:szCs w:val="24"/>
        </w:rPr>
        <w:t xml:space="preserve">The </w:t>
      </w:r>
      <w:r w:rsidR="003637F6">
        <w:rPr>
          <w:rFonts w:cstheme="minorHAnsi"/>
          <w:sz w:val="24"/>
          <w:szCs w:val="24"/>
        </w:rPr>
        <w:t>C</w:t>
      </w:r>
      <w:r w:rsidR="00F670A6" w:rsidRPr="000B18F7">
        <w:rPr>
          <w:rFonts w:cstheme="minorHAnsi"/>
          <w:sz w:val="24"/>
          <w:szCs w:val="24"/>
        </w:rPr>
        <w:t>ode</w:t>
      </w:r>
      <w:r w:rsidR="006D1F90" w:rsidRPr="000B18F7">
        <w:rPr>
          <w:rFonts w:cstheme="minorHAnsi"/>
          <w:sz w:val="24"/>
          <w:szCs w:val="24"/>
        </w:rPr>
        <w:t xml:space="preserve"> </w:t>
      </w:r>
      <w:r w:rsidR="00A80987" w:rsidRPr="000B18F7">
        <w:rPr>
          <w:rFonts w:cstheme="minorHAnsi"/>
          <w:sz w:val="24"/>
          <w:szCs w:val="24"/>
        </w:rPr>
        <w:t xml:space="preserve">has been developed to </w:t>
      </w:r>
      <w:r w:rsidR="000B18F7" w:rsidRPr="000B18F7">
        <w:rPr>
          <w:rFonts w:cstheme="minorHAnsi"/>
          <w:sz w:val="24"/>
          <w:szCs w:val="24"/>
        </w:rPr>
        <w:t xml:space="preserve">reflect the expectations of behaviour set out in a range of policies and frameworks, but within a single document. </w:t>
      </w:r>
      <w:r w:rsidR="003D2170" w:rsidRPr="000B18F7">
        <w:rPr>
          <w:rFonts w:cstheme="minorHAnsi"/>
          <w:sz w:val="24"/>
          <w:szCs w:val="24"/>
        </w:rPr>
        <w:t xml:space="preserve">This action has been </w:t>
      </w:r>
      <w:r w:rsidR="003D2170" w:rsidRPr="000B18F7">
        <w:rPr>
          <w:rFonts w:cstheme="minorHAnsi"/>
          <w:sz w:val="24"/>
          <w:szCs w:val="24"/>
        </w:rPr>
        <w:lastRenderedPageBreak/>
        <w:t>implemented as part of the University</w:t>
      </w:r>
      <w:r w:rsidR="00260378" w:rsidRPr="000B18F7">
        <w:rPr>
          <w:rFonts w:cstheme="minorHAnsi"/>
          <w:sz w:val="24"/>
          <w:szCs w:val="24"/>
        </w:rPr>
        <w:t>’s</w:t>
      </w:r>
      <w:r w:rsidR="003D2170" w:rsidRPr="000B18F7">
        <w:rPr>
          <w:rFonts w:cstheme="minorHAnsi"/>
          <w:sz w:val="24"/>
          <w:szCs w:val="24"/>
        </w:rPr>
        <w:t xml:space="preserve"> Gender-Based Violence action plan</w:t>
      </w:r>
      <w:r w:rsidR="00E754DB" w:rsidRPr="000B18F7">
        <w:rPr>
          <w:rFonts w:cstheme="minorHAnsi"/>
          <w:sz w:val="24"/>
          <w:szCs w:val="24"/>
        </w:rPr>
        <w:t>. It was widely consulted on</w:t>
      </w:r>
      <w:r w:rsidR="00694DD2" w:rsidRPr="000B18F7">
        <w:rPr>
          <w:rFonts w:cstheme="minorHAnsi"/>
          <w:sz w:val="24"/>
          <w:szCs w:val="24"/>
        </w:rPr>
        <w:t xml:space="preserve"> with College Management </w:t>
      </w:r>
      <w:r w:rsidR="001F45E0" w:rsidRPr="000B18F7">
        <w:rPr>
          <w:rFonts w:cstheme="minorHAnsi"/>
          <w:sz w:val="24"/>
          <w:szCs w:val="24"/>
        </w:rPr>
        <w:t xml:space="preserve">Groups and Trade Unions and launched </w:t>
      </w:r>
      <w:r w:rsidR="00347D07" w:rsidRPr="000B18F7">
        <w:rPr>
          <w:rFonts w:cstheme="minorHAnsi"/>
          <w:sz w:val="24"/>
          <w:szCs w:val="24"/>
        </w:rPr>
        <w:t>in 2022.</w:t>
      </w:r>
    </w:p>
    <w:p w14:paraId="38C21C27" w14:textId="77777777" w:rsidR="00214E0B" w:rsidRDefault="00214E0B" w:rsidP="00C92BA4">
      <w:pPr>
        <w:rPr>
          <w:rFonts w:cstheme="minorHAnsi"/>
          <w:b/>
          <w:bCs/>
          <w:color w:val="FF0000"/>
          <w:sz w:val="24"/>
          <w:szCs w:val="24"/>
        </w:rPr>
        <w:sectPr w:rsidR="00214E0B" w:rsidSect="00C24859">
          <w:footerReference w:type="default" r:id="rId17"/>
          <w:pgSz w:w="11906" w:h="16838"/>
          <w:pgMar w:top="1440" w:right="1440" w:bottom="1440" w:left="1440" w:header="708" w:footer="708" w:gutter="0"/>
          <w:cols w:space="708"/>
          <w:titlePg/>
          <w:docGrid w:linePitch="360"/>
        </w:sectPr>
      </w:pPr>
    </w:p>
    <w:p w14:paraId="66C69585" w14:textId="4322D428" w:rsidR="00C92BA4" w:rsidRPr="003434E3" w:rsidRDefault="00393AB5" w:rsidP="006C075C">
      <w:pPr>
        <w:pStyle w:val="Heading2"/>
      </w:pPr>
      <w:r w:rsidRPr="003434E3">
        <w:lastRenderedPageBreak/>
        <w:t xml:space="preserve">6.2 </w:t>
      </w:r>
      <w:r w:rsidR="00C92BA4" w:rsidRPr="003434E3">
        <w:t>Advance equality of opportunity between persons who share a relevant protected characteristic and persons who do not share it</w:t>
      </w:r>
      <w:r w:rsidR="006C075C">
        <w:t>.</w:t>
      </w:r>
    </w:p>
    <w:p w14:paraId="3CFA2AFE" w14:textId="40274BA4" w:rsidR="00F00DF2" w:rsidRPr="003434E3" w:rsidRDefault="002C6519" w:rsidP="00F00DF2">
      <w:pPr>
        <w:rPr>
          <w:sz w:val="24"/>
          <w:szCs w:val="24"/>
        </w:rPr>
      </w:pPr>
      <w:r w:rsidRPr="00921FC4">
        <w:rPr>
          <w:b/>
          <w:bCs/>
          <w:sz w:val="24"/>
          <w:szCs w:val="24"/>
        </w:rPr>
        <w:t>6.2.1</w:t>
      </w:r>
      <w:r w:rsidRPr="003434E3">
        <w:rPr>
          <w:sz w:val="24"/>
          <w:szCs w:val="24"/>
        </w:rPr>
        <w:t xml:space="preserve"> </w:t>
      </w:r>
      <w:r w:rsidR="00AA4707" w:rsidRPr="003434E3">
        <w:rPr>
          <w:sz w:val="24"/>
          <w:szCs w:val="24"/>
        </w:rPr>
        <w:t xml:space="preserve">The University has </w:t>
      </w:r>
      <w:r w:rsidR="004867E0" w:rsidRPr="003434E3">
        <w:rPr>
          <w:sz w:val="24"/>
          <w:szCs w:val="24"/>
        </w:rPr>
        <w:t xml:space="preserve">devised and agreed a set of key performance indicators (KPIs) </w:t>
      </w:r>
      <w:r w:rsidR="006716B7" w:rsidRPr="003434E3">
        <w:rPr>
          <w:sz w:val="24"/>
          <w:szCs w:val="24"/>
        </w:rPr>
        <w:t>to ensure progress with our strategy. In previous strategies there wa</w:t>
      </w:r>
      <w:r w:rsidR="00BF0F98" w:rsidRPr="003434E3">
        <w:rPr>
          <w:sz w:val="24"/>
          <w:szCs w:val="24"/>
        </w:rPr>
        <w:t>s a single</w:t>
      </w:r>
      <w:r w:rsidR="00EC3146" w:rsidRPr="003434E3">
        <w:rPr>
          <w:sz w:val="24"/>
          <w:szCs w:val="24"/>
        </w:rPr>
        <w:t xml:space="preserve"> KPI on growing the percentage of senior women at grade 10. In this strategic round this </w:t>
      </w:r>
      <w:r w:rsidR="00E11458">
        <w:rPr>
          <w:sz w:val="24"/>
          <w:szCs w:val="24"/>
        </w:rPr>
        <w:t>h</w:t>
      </w:r>
      <w:r w:rsidR="00EC3146" w:rsidRPr="003434E3">
        <w:rPr>
          <w:sz w:val="24"/>
          <w:szCs w:val="24"/>
        </w:rPr>
        <w:t xml:space="preserve">as been expanded to include </w:t>
      </w:r>
      <w:r w:rsidR="00BD6BBE" w:rsidRPr="003434E3">
        <w:rPr>
          <w:sz w:val="24"/>
          <w:szCs w:val="24"/>
        </w:rPr>
        <w:t>growing the percentage of UK Black, Asian and Minority Ethnic</w:t>
      </w:r>
      <w:r w:rsidR="00533446">
        <w:rPr>
          <w:sz w:val="24"/>
          <w:szCs w:val="24"/>
        </w:rPr>
        <w:t xml:space="preserve"> (BAME)</w:t>
      </w:r>
      <w:r w:rsidR="000A3349">
        <w:rPr>
          <w:rStyle w:val="FootnoteReference"/>
          <w:sz w:val="24"/>
          <w:szCs w:val="24"/>
        </w:rPr>
        <w:footnoteReference w:id="6"/>
      </w:r>
      <w:r w:rsidR="00BD6BBE" w:rsidRPr="003434E3">
        <w:rPr>
          <w:sz w:val="24"/>
          <w:szCs w:val="24"/>
        </w:rPr>
        <w:t xml:space="preserve"> </w:t>
      </w:r>
      <w:r w:rsidR="0012371B" w:rsidRPr="003434E3">
        <w:rPr>
          <w:sz w:val="24"/>
          <w:szCs w:val="24"/>
        </w:rPr>
        <w:t>colleagues</w:t>
      </w:r>
      <w:r w:rsidR="00BD6BBE" w:rsidRPr="003434E3">
        <w:rPr>
          <w:sz w:val="24"/>
          <w:szCs w:val="24"/>
        </w:rPr>
        <w:t xml:space="preserve"> and to increase the percentage</w:t>
      </w:r>
      <w:r w:rsidR="0012371B" w:rsidRPr="003434E3">
        <w:rPr>
          <w:sz w:val="24"/>
          <w:szCs w:val="24"/>
        </w:rPr>
        <w:t xml:space="preserve"> of colleagues who declare </w:t>
      </w:r>
      <w:r w:rsidR="00FB0A88" w:rsidRPr="003434E3">
        <w:rPr>
          <w:sz w:val="24"/>
          <w:szCs w:val="24"/>
        </w:rPr>
        <w:t xml:space="preserve">a disability. The three elements of the KPI have </w:t>
      </w:r>
      <w:r w:rsidR="002D0096" w:rsidRPr="003434E3">
        <w:rPr>
          <w:sz w:val="24"/>
          <w:szCs w:val="24"/>
        </w:rPr>
        <w:t>ambitious</w:t>
      </w:r>
      <w:r w:rsidR="00FB0A88" w:rsidRPr="003434E3">
        <w:rPr>
          <w:sz w:val="24"/>
          <w:szCs w:val="24"/>
        </w:rPr>
        <w:t xml:space="preserve"> benchmark</w:t>
      </w:r>
      <w:r w:rsidR="00EC733B" w:rsidRPr="003434E3">
        <w:rPr>
          <w:sz w:val="24"/>
          <w:szCs w:val="24"/>
        </w:rPr>
        <w:t xml:space="preserve">s – for sex with an aim </w:t>
      </w:r>
      <w:r w:rsidR="00AE0F64">
        <w:rPr>
          <w:sz w:val="24"/>
          <w:szCs w:val="24"/>
        </w:rPr>
        <w:t>of</w:t>
      </w:r>
      <w:r w:rsidR="00EC733B" w:rsidRPr="003434E3">
        <w:rPr>
          <w:sz w:val="24"/>
          <w:szCs w:val="24"/>
        </w:rPr>
        <w:t xml:space="preserve"> 50%</w:t>
      </w:r>
      <w:r w:rsidR="00AE0F64">
        <w:rPr>
          <w:sz w:val="24"/>
          <w:szCs w:val="24"/>
        </w:rPr>
        <w:t xml:space="preserve"> by 2030,</w:t>
      </w:r>
      <w:r w:rsidR="00EC733B" w:rsidRPr="003434E3">
        <w:rPr>
          <w:sz w:val="24"/>
          <w:szCs w:val="24"/>
        </w:rPr>
        <w:t xml:space="preserve"> and the other </w:t>
      </w:r>
      <w:r w:rsidR="006D754C">
        <w:rPr>
          <w:sz w:val="24"/>
          <w:szCs w:val="24"/>
        </w:rPr>
        <w:t>KPIs</w:t>
      </w:r>
      <w:r w:rsidR="00AE0F64">
        <w:rPr>
          <w:sz w:val="24"/>
          <w:szCs w:val="24"/>
        </w:rPr>
        <w:t xml:space="preserve"> aim</w:t>
      </w:r>
      <w:r w:rsidR="00EC733B" w:rsidRPr="003434E3">
        <w:rPr>
          <w:sz w:val="24"/>
          <w:szCs w:val="24"/>
        </w:rPr>
        <w:t xml:space="preserve"> to align with the local labour market travel to work area</w:t>
      </w:r>
      <w:r w:rsidR="00EC18A2">
        <w:rPr>
          <w:sz w:val="24"/>
          <w:szCs w:val="24"/>
        </w:rPr>
        <w:t>s data</w:t>
      </w:r>
      <w:r w:rsidR="00EC733B" w:rsidRPr="003434E3">
        <w:rPr>
          <w:sz w:val="24"/>
          <w:szCs w:val="24"/>
        </w:rPr>
        <w:t xml:space="preserve">. </w:t>
      </w:r>
      <w:r w:rsidR="002D0096" w:rsidRPr="003434E3">
        <w:rPr>
          <w:sz w:val="24"/>
          <w:szCs w:val="24"/>
        </w:rPr>
        <w:t xml:space="preserve">The </w:t>
      </w:r>
      <w:r w:rsidR="006D754C">
        <w:rPr>
          <w:sz w:val="24"/>
          <w:szCs w:val="24"/>
        </w:rPr>
        <w:t>KPIs</w:t>
      </w:r>
      <w:r w:rsidR="002D0096" w:rsidRPr="003434E3">
        <w:rPr>
          <w:sz w:val="24"/>
          <w:szCs w:val="24"/>
        </w:rPr>
        <w:t xml:space="preserve"> are cascaded to </w:t>
      </w:r>
      <w:r w:rsidR="001B473E">
        <w:rPr>
          <w:sz w:val="24"/>
          <w:szCs w:val="24"/>
        </w:rPr>
        <w:t>s</w:t>
      </w:r>
      <w:r w:rsidR="002D0096" w:rsidRPr="003434E3">
        <w:rPr>
          <w:sz w:val="24"/>
          <w:szCs w:val="24"/>
        </w:rPr>
        <w:t>chool</w:t>
      </w:r>
      <w:r w:rsidR="001B473E">
        <w:rPr>
          <w:sz w:val="24"/>
          <w:szCs w:val="24"/>
        </w:rPr>
        <w:t>s,</w:t>
      </w:r>
      <w:r w:rsidR="002D0096" w:rsidRPr="003434E3">
        <w:rPr>
          <w:sz w:val="24"/>
          <w:szCs w:val="24"/>
        </w:rPr>
        <w:t xml:space="preserve"> where each management team are required to indicated how they are addressing these</w:t>
      </w:r>
      <w:r w:rsidR="009F44BD">
        <w:rPr>
          <w:sz w:val="24"/>
          <w:szCs w:val="24"/>
        </w:rPr>
        <w:t xml:space="preserve"> </w:t>
      </w:r>
      <w:r w:rsidR="006D754C">
        <w:rPr>
          <w:sz w:val="24"/>
          <w:szCs w:val="24"/>
        </w:rPr>
        <w:t>KPIs</w:t>
      </w:r>
      <w:r w:rsidR="002D0096" w:rsidRPr="003434E3">
        <w:rPr>
          <w:sz w:val="24"/>
          <w:szCs w:val="24"/>
        </w:rPr>
        <w:t xml:space="preserve"> in </w:t>
      </w:r>
      <w:r w:rsidR="00D17580" w:rsidRPr="003434E3">
        <w:rPr>
          <w:sz w:val="24"/>
          <w:szCs w:val="24"/>
        </w:rPr>
        <w:t>their</w:t>
      </w:r>
      <w:r w:rsidR="002D0096" w:rsidRPr="003434E3">
        <w:rPr>
          <w:sz w:val="24"/>
          <w:szCs w:val="24"/>
        </w:rPr>
        <w:t xml:space="preserve"> annual strategic review process. </w:t>
      </w:r>
      <w:r w:rsidR="00644281" w:rsidRPr="003434E3">
        <w:rPr>
          <w:sz w:val="24"/>
          <w:szCs w:val="24"/>
        </w:rPr>
        <w:t>The c</w:t>
      </w:r>
      <w:r w:rsidR="00DE1309" w:rsidRPr="003434E3">
        <w:rPr>
          <w:sz w:val="24"/>
          <w:szCs w:val="24"/>
        </w:rPr>
        <w:t>harts</w:t>
      </w:r>
      <w:r w:rsidR="00A549C7" w:rsidRPr="003434E3">
        <w:rPr>
          <w:sz w:val="24"/>
          <w:szCs w:val="24"/>
        </w:rPr>
        <w:t xml:space="preserve"> below show the progress.</w:t>
      </w:r>
    </w:p>
    <w:p w14:paraId="7C89EFE8" w14:textId="32F4D8E6" w:rsidR="00846226" w:rsidRDefault="00846226" w:rsidP="00F00DF2">
      <w:pPr>
        <w:rPr>
          <w:sz w:val="24"/>
          <w:szCs w:val="24"/>
        </w:rPr>
      </w:pPr>
      <w:r w:rsidRPr="00846226">
        <w:rPr>
          <w:noProof/>
        </w:rPr>
        <w:drawing>
          <wp:inline distT="0" distB="0" distL="0" distR="0" wp14:anchorId="04292447" wp14:editId="32D4A437">
            <wp:extent cx="8863330" cy="1977390"/>
            <wp:effectExtent l="0" t="0" r="0" b="3810"/>
            <wp:docPr id="8" name="Picture 8" descr="Senior Women = 32.8% - improved from 28.2% in 2017-18&#10;UK Colleagues with declared BAME Heritage = 4.9% - up from 3.6% in 2017-18&#10;Colleagues with Declared Disability = 5.3% - up from 4% in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enior Women = 32.8% - improved from 28.2% in 2017-18&#10;UK Colleagues with declared BAME Heritage = 4.9% - up from 3.6% in 2017-18&#10;Colleagues with Declared Disability = 5.3% - up from 4% in 2017-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1977390"/>
                    </a:xfrm>
                    <a:prstGeom prst="rect">
                      <a:avLst/>
                    </a:prstGeom>
                    <a:noFill/>
                    <a:ln>
                      <a:noFill/>
                    </a:ln>
                  </pic:spPr>
                </pic:pic>
              </a:graphicData>
            </a:graphic>
          </wp:inline>
        </w:drawing>
      </w:r>
    </w:p>
    <w:p w14:paraId="67F1BC64" w14:textId="77777777" w:rsidR="00711857" w:rsidRDefault="002C6519" w:rsidP="00F00DF2">
      <w:pPr>
        <w:rPr>
          <w:rFonts w:cstheme="minorHAnsi"/>
          <w:bCs/>
          <w:sz w:val="24"/>
          <w:szCs w:val="24"/>
        </w:rPr>
        <w:sectPr w:rsidR="00711857" w:rsidSect="00846226">
          <w:pgSz w:w="16838" w:h="11906" w:orient="landscape"/>
          <w:pgMar w:top="1440" w:right="1440" w:bottom="1440" w:left="1440" w:header="708" w:footer="708" w:gutter="0"/>
          <w:cols w:space="708"/>
          <w:docGrid w:linePitch="360"/>
        </w:sectPr>
      </w:pPr>
      <w:r w:rsidRPr="00E82EFE">
        <w:rPr>
          <w:rFonts w:cstheme="minorHAnsi"/>
          <w:b/>
          <w:sz w:val="24"/>
          <w:szCs w:val="24"/>
        </w:rPr>
        <w:t>6.2.2</w:t>
      </w:r>
      <w:r>
        <w:rPr>
          <w:rFonts w:cstheme="minorHAnsi"/>
          <w:bCs/>
          <w:sz w:val="24"/>
          <w:szCs w:val="24"/>
        </w:rPr>
        <w:t xml:space="preserve"> </w:t>
      </w:r>
      <w:r w:rsidR="00161612" w:rsidRPr="009A2DAA">
        <w:rPr>
          <w:rFonts w:cstheme="minorHAnsi"/>
          <w:bCs/>
          <w:sz w:val="24"/>
          <w:szCs w:val="24"/>
        </w:rPr>
        <w:t xml:space="preserve">In </w:t>
      </w:r>
      <w:r w:rsidR="000C11CE" w:rsidRPr="009A2DAA">
        <w:rPr>
          <w:rFonts w:cstheme="minorHAnsi"/>
          <w:bCs/>
          <w:sz w:val="24"/>
          <w:szCs w:val="24"/>
        </w:rPr>
        <w:t>2021</w:t>
      </w:r>
      <w:r w:rsidR="00C309D0" w:rsidRPr="009A2DAA">
        <w:rPr>
          <w:rFonts w:cstheme="minorHAnsi"/>
          <w:bCs/>
          <w:sz w:val="24"/>
          <w:szCs w:val="24"/>
        </w:rPr>
        <w:t>, and as a response to the URTUC report</w:t>
      </w:r>
      <w:r w:rsidR="00BD68C2" w:rsidRPr="009A2DAA">
        <w:rPr>
          <w:rFonts w:cstheme="minorHAnsi"/>
          <w:bCs/>
          <w:sz w:val="24"/>
          <w:szCs w:val="24"/>
        </w:rPr>
        <w:t>,</w:t>
      </w:r>
      <w:r w:rsidR="00274E03" w:rsidRPr="009A2DAA">
        <w:rPr>
          <w:rFonts w:cstheme="minorHAnsi"/>
          <w:bCs/>
          <w:sz w:val="24"/>
          <w:szCs w:val="24"/>
        </w:rPr>
        <w:t xml:space="preserve"> the </w:t>
      </w:r>
      <w:r w:rsidR="009B003A" w:rsidRPr="009A2DAA">
        <w:rPr>
          <w:rFonts w:cstheme="minorHAnsi"/>
          <w:bCs/>
          <w:sz w:val="24"/>
          <w:szCs w:val="24"/>
        </w:rPr>
        <w:t xml:space="preserve">College of Science and Engineering </w:t>
      </w:r>
      <w:r w:rsidR="00625D15" w:rsidRPr="009A2DAA">
        <w:rPr>
          <w:rFonts w:cstheme="minorHAnsi"/>
          <w:bCs/>
          <w:sz w:val="24"/>
          <w:szCs w:val="24"/>
        </w:rPr>
        <w:t xml:space="preserve">(CoSE) </w:t>
      </w:r>
      <w:r w:rsidR="009B003A" w:rsidRPr="009A2DAA">
        <w:rPr>
          <w:rFonts w:cstheme="minorHAnsi"/>
          <w:bCs/>
          <w:sz w:val="24"/>
          <w:szCs w:val="24"/>
        </w:rPr>
        <w:t xml:space="preserve">proposed a </w:t>
      </w:r>
      <w:r w:rsidR="00E4295B" w:rsidRPr="009A2DAA">
        <w:rPr>
          <w:rFonts w:cstheme="minorHAnsi"/>
          <w:bCs/>
          <w:sz w:val="24"/>
          <w:szCs w:val="24"/>
        </w:rPr>
        <w:t xml:space="preserve">PhD Scholarship for ethnic minority students. </w:t>
      </w:r>
      <w:r w:rsidR="00CA59A6" w:rsidRPr="009A2DAA">
        <w:rPr>
          <w:rFonts w:cstheme="minorHAnsi"/>
          <w:bCs/>
          <w:sz w:val="24"/>
          <w:szCs w:val="24"/>
        </w:rPr>
        <w:t xml:space="preserve">After conducting an equality impact assessment, </w:t>
      </w:r>
      <w:r w:rsidR="005C7B03" w:rsidRPr="009A2DAA">
        <w:rPr>
          <w:rFonts w:cstheme="minorHAnsi"/>
          <w:bCs/>
          <w:sz w:val="24"/>
          <w:szCs w:val="24"/>
        </w:rPr>
        <w:t>it was</w:t>
      </w:r>
      <w:r w:rsidR="00625D15" w:rsidRPr="009A2DAA">
        <w:rPr>
          <w:rFonts w:cstheme="minorHAnsi"/>
          <w:bCs/>
          <w:sz w:val="24"/>
          <w:szCs w:val="24"/>
        </w:rPr>
        <w:t xml:space="preserve"> identified that across the University and the sector</w:t>
      </w:r>
      <w:r w:rsidR="00400F78" w:rsidRPr="009A2DAA">
        <w:rPr>
          <w:rFonts w:cstheme="minorHAnsi"/>
          <w:bCs/>
          <w:sz w:val="24"/>
          <w:szCs w:val="24"/>
        </w:rPr>
        <w:t>,</w:t>
      </w:r>
      <w:r w:rsidR="00625D15" w:rsidRPr="009A2DAA">
        <w:rPr>
          <w:rFonts w:cstheme="minorHAnsi"/>
          <w:bCs/>
          <w:sz w:val="24"/>
          <w:szCs w:val="24"/>
        </w:rPr>
        <w:t xml:space="preserve"> </w:t>
      </w:r>
      <w:r w:rsidR="00D6255B" w:rsidRPr="009A2DAA">
        <w:rPr>
          <w:rFonts w:cstheme="minorHAnsi"/>
          <w:bCs/>
          <w:sz w:val="24"/>
          <w:szCs w:val="24"/>
        </w:rPr>
        <w:t>the</w:t>
      </w:r>
      <w:r w:rsidR="00625D15" w:rsidRPr="009A2DAA">
        <w:rPr>
          <w:rFonts w:cstheme="minorHAnsi"/>
          <w:bCs/>
          <w:sz w:val="24"/>
          <w:szCs w:val="24"/>
        </w:rPr>
        <w:t xml:space="preserve"> most underrepresented group was UK Black PhD students</w:t>
      </w:r>
      <w:r w:rsidR="00777AC8" w:rsidRPr="009A2DAA">
        <w:rPr>
          <w:rFonts w:cstheme="minorHAnsi"/>
          <w:bCs/>
          <w:sz w:val="24"/>
          <w:szCs w:val="24"/>
        </w:rPr>
        <w:t xml:space="preserve">. </w:t>
      </w:r>
      <w:r w:rsidR="000119D7" w:rsidRPr="009A2DAA">
        <w:rPr>
          <w:rFonts w:cstheme="minorHAnsi"/>
          <w:bCs/>
          <w:sz w:val="24"/>
          <w:szCs w:val="24"/>
        </w:rPr>
        <w:t xml:space="preserve">CoSE proposed this model to the other </w:t>
      </w:r>
      <w:r w:rsidR="00AC1788" w:rsidRPr="009A2DAA">
        <w:rPr>
          <w:rFonts w:cstheme="minorHAnsi"/>
          <w:bCs/>
          <w:sz w:val="24"/>
          <w:szCs w:val="24"/>
        </w:rPr>
        <w:t>College Graduate Schools and the</w:t>
      </w:r>
      <w:r w:rsidR="00BF0F98" w:rsidRPr="009A2DAA">
        <w:rPr>
          <w:rFonts w:cstheme="minorHAnsi"/>
          <w:bCs/>
          <w:sz w:val="24"/>
          <w:szCs w:val="24"/>
        </w:rPr>
        <w:t xml:space="preserve"> </w:t>
      </w:r>
      <w:r w:rsidR="00015860" w:rsidRPr="009A2DAA">
        <w:rPr>
          <w:rFonts w:cstheme="minorHAnsi"/>
          <w:bCs/>
          <w:sz w:val="24"/>
          <w:szCs w:val="24"/>
        </w:rPr>
        <w:t>J</w:t>
      </w:r>
      <w:r w:rsidR="00AC1788" w:rsidRPr="009A2DAA">
        <w:rPr>
          <w:rFonts w:cstheme="minorHAnsi"/>
          <w:bCs/>
          <w:sz w:val="24"/>
          <w:szCs w:val="24"/>
        </w:rPr>
        <w:t xml:space="preserve">ames </w:t>
      </w:r>
      <w:r w:rsidR="00015860" w:rsidRPr="009A2DAA">
        <w:rPr>
          <w:rFonts w:cstheme="minorHAnsi"/>
          <w:bCs/>
          <w:sz w:val="24"/>
          <w:szCs w:val="24"/>
        </w:rPr>
        <w:t>M</w:t>
      </w:r>
      <w:r w:rsidR="00AC1788" w:rsidRPr="009A2DAA">
        <w:rPr>
          <w:rFonts w:cstheme="minorHAnsi"/>
          <w:bCs/>
          <w:sz w:val="24"/>
          <w:szCs w:val="24"/>
        </w:rPr>
        <w:t xml:space="preserve">cCune </w:t>
      </w:r>
      <w:r w:rsidR="00015860" w:rsidRPr="009A2DAA">
        <w:rPr>
          <w:rFonts w:cstheme="minorHAnsi"/>
          <w:bCs/>
          <w:sz w:val="24"/>
          <w:szCs w:val="24"/>
        </w:rPr>
        <w:t>S</w:t>
      </w:r>
      <w:r w:rsidR="00AC1788" w:rsidRPr="009A2DAA">
        <w:rPr>
          <w:rFonts w:cstheme="minorHAnsi"/>
          <w:bCs/>
          <w:sz w:val="24"/>
          <w:szCs w:val="24"/>
        </w:rPr>
        <w:t>mith</w:t>
      </w:r>
      <w:r w:rsidR="00015860" w:rsidRPr="009A2DAA">
        <w:rPr>
          <w:rFonts w:cstheme="minorHAnsi"/>
          <w:bCs/>
          <w:sz w:val="24"/>
          <w:szCs w:val="24"/>
        </w:rPr>
        <w:t xml:space="preserve"> PhD Scholarship</w:t>
      </w:r>
      <w:r w:rsidR="00AC1788" w:rsidRPr="009A2DAA">
        <w:rPr>
          <w:rFonts w:cstheme="minorHAnsi"/>
          <w:bCs/>
          <w:sz w:val="24"/>
          <w:szCs w:val="24"/>
        </w:rPr>
        <w:t xml:space="preserve"> was developed</w:t>
      </w:r>
      <w:r w:rsidR="00B00A5F" w:rsidRPr="009A2DAA">
        <w:rPr>
          <w:rFonts w:cstheme="minorHAnsi"/>
          <w:bCs/>
          <w:sz w:val="24"/>
          <w:szCs w:val="24"/>
        </w:rPr>
        <w:t>. This scholarship runs for three years and is open to UK Black student</w:t>
      </w:r>
      <w:r w:rsidR="00934375" w:rsidRPr="009A2DAA">
        <w:rPr>
          <w:rFonts w:cstheme="minorHAnsi"/>
          <w:bCs/>
          <w:sz w:val="24"/>
          <w:szCs w:val="24"/>
        </w:rPr>
        <w:t xml:space="preserve">s, it includes an industry placement, mentoring and </w:t>
      </w:r>
      <w:r w:rsidR="00F07DE9" w:rsidRPr="009A2DAA">
        <w:rPr>
          <w:rFonts w:cstheme="minorHAnsi"/>
          <w:bCs/>
          <w:sz w:val="24"/>
          <w:szCs w:val="24"/>
        </w:rPr>
        <w:t xml:space="preserve">specially designed training for the </w:t>
      </w:r>
      <w:r w:rsidR="00D6255B" w:rsidRPr="009A2DAA">
        <w:rPr>
          <w:rFonts w:cstheme="minorHAnsi"/>
          <w:bCs/>
          <w:sz w:val="24"/>
          <w:szCs w:val="24"/>
        </w:rPr>
        <w:t>Supervisors</w:t>
      </w:r>
      <w:r w:rsidR="00F07DE9" w:rsidRPr="009A2DAA">
        <w:rPr>
          <w:rFonts w:cstheme="minorHAnsi"/>
          <w:bCs/>
          <w:sz w:val="24"/>
          <w:szCs w:val="24"/>
        </w:rPr>
        <w:t>. In the first</w:t>
      </w:r>
      <w:r w:rsidR="000725C4" w:rsidRPr="009A2DAA">
        <w:rPr>
          <w:rFonts w:cstheme="minorHAnsi"/>
          <w:bCs/>
          <w:sz w:val="24"/>
          <w:szCs w:val="24"/>
        </w:rPr>
        <w:t xml:space="preserve"> </w:t>
      </w:r>
      <w:r w:rsidR="00F07DE9" w:rsidRPr="009A2DAA">
        <w:rPr>
          <w:rFonts w:cstheme="minorHAnsi"/>
          <w:bCs/>
          <w:sz w:val="24"/>
          <w:szCs w:val="24"/>
        </w:rPr>
        <w:t xml:space="preserve">intake </w:t>
      </w:r>
      <w:r w:rsidR="004F0FE5" w:rsidRPr="009A2DAA">
        <w:rPr>
          <w:rFonts w:cstheme="minorHAnsi"/>
          <w:bCs/>
          <w:sz w:val="24"/>
          <w:szCs w:val="24"/>
        </w:rPr>
        <w:t xml:space="preserve">(October </w:t>
      </w:r>
      <w:r w:rsidR="00F07DE9" w:rsidRPr="009A2DAA">
        <w:rPr>
          <w:rFonts w:cstheme="minorHAnsi"/>
          <w:bCs/>
          <w:sz w:val="24"/>
          <w:szCs w:val="24"/>
        </w:rPr>
        <w:t>2022), there were 10 scholarships</w:t>
      </w:r>
    </w:p>
    <w:p w14:paraId="69012B9E" w14:textId="77777777" w:rsidR="00547866" w:rsidRDefault="00F07DE9" w:rsidP="00547866">
      <w:pPr>
        <w:rPr>
          <w:rFonts w:cstheme="minorHAnsi"/>
          <w:bCs/>
          <w:sz w:val="24"/>
          <w:szCs w:val="24"/>
        </w:rPr>
      </w:pPr>
      <w:r w:rsidRPr="009A2DAA">
        <w:rPr>
          <w:rFonts w:cstheme="minorHAnsi"/>
          <w:bCs/>
          <w:sz w:val="24"/>
          <w:szCs w:val="24"/>
        </w:rPr>
        <w:lastRenderedPageBreak/>
        <w:t xml:space="preserve"> available</w:t>
      </w:r>
      <w:r w:rsidR="00825463" w:rsidRPr="009A2DAA">
        <w:rPr>
          <w:rFonts w:cstheme="minorHAnsi"/>
          <w:bCs/>
          <w:sz w:val="24"/>
          <w:szCs w:val="24"/>
        </w:rPr>
        <w:t>. The University received</w:t>
      </w:r>
      <w:r w:rsidRPr="009A2DAA">
        <w:rPr>
          <w:rFonts w:cstheme="minorHAnsi"/>
          <w:bCs/>
          <w:sz w:val="24"/>
          <w:szCs w:val="24"/>
        </w:rPr>
        <w:t xml:space="preserve"> </w:t>
      </w:r>
      <w:r w:rsidR="006B0C5D" w:rsidRPr="009A2DAA">
        <w:rPr>
          <w:rFonts w:cstheme="minorHAnsi"/>
          <w:bCs/>
          <w:sz w:val="24"/>
          <w:szCs w:val="24"/>
        </w:rPr>
        <w:t xml:space="preserve">700+ notes of interest, 200+ applications and </w:t>
      </w:r>
      <w:r w:rsidR="002D5870" w:rsidRPr="009A2DAA">
        <w:rPr>
          <w:rFonts w:cstheme="minorHAnsi"/>
          <w:bCs/>
          <w:sz w:val="24"/>
          <w:szCs w:val="24"/>
        </w:rPr>
        <w:t xml:space="preserve">the University extended the awards – </w:t>
      </w:r>
      <w:r w:rsidR="00957754" w:rsidRPr="009A2DAA">
        <w:rPr>
          <w:rFonts w:cstheme="minorHAnsi"/>
          <w:bCs/>
          <w:sz w:val="24"/>
          <w:szCs w:val="24"/>
        </w:rPr>
        <w:t>appointing 17 scholars</w:t>
      </w:r>
      <w:r w:rsidR="009A2DAA" w:rsidRPr="009A2DAA">
        <w:rPr>
          <w:rFonts w:cstheme="minorHAnsi"/>
          <w:bCs/>
          <w:sz w:val="24"/>
          <w:szCs w:val="24"/>
        </w:rPr>
        <w:t xml:space="preserve"> in total</w:t>
      </w:r>
      <w:r w:rsidR="00941DF8" w:rsidRPr="009A2DAA">
        <w:rPr>
          <w:rFonts w:cstheme="minorHAnsi"/>
          <w:bCs/>
          <w:sz w:val="24"/>
          <w:szCs w:val="24"/>
        </w:rPr>
        <w:t xml:space="preserve">. Recruitment has started for the </w:t>
      </w:r>
      <w:r w:rsidR="008409BF" w:rsidRPr="009A2DAA">
        <w:rPr>
          <w:rFonts w:cstheme="minorHAnsi"/>
          <w:bCs/>
          <w:sz w:val="24"/>
          <w:szCs w:val="24"/>
        </w:rPr>
        <w:t xml:space="preserve">2023 </w:t>
      </w:r>
      <w:r w:rsidR="009A2DAA" w:rsidRPr="009A2DAA">
        <w:rPr>
          <w:rFonts w:cstheme="minorHAnsi"/>
          <w:bCs/>
          <w:sz w:val="24"/>
          <w:szCs w:val="24"/>
        </w:rPr>
        <w:t>intake</w:t>
      </w:r>
      <w:r w:rsidR="008409BF" w:rsidRPr="009A2DAA">
        <w:rPr>
          <w:rFonts w:cstheme="minorHAnsi"/>
          <w:bCs/>
          <w:sz w:val="24"/>
          <w:szCs w:val="24"/>
        </w:rPr>
        <w:t>.</w:t>
      </w:r>
    </w:p>
    <w:p w14:paraId="42FE361F" w14:textId="5E2C9E03" w:rsidR="00015860" w:rsidRPr="00BB52A6" w:rsidRDefault="002C6519" w:rsidP="00547866">
      <w:pPr>
        <w:rPr>
          <w:rFonts w:cstheme="minorHAnsi"/>
          <w:bCs/>
          <w:sz w:val="24"/>
          <w:szCs w:val="24"/>
        </w:rPr>
      </w:pPr>
      <w:r w:rsidRPr="009F2765">
        <w:rPr>
          <w:rFonts w:cstheme="minorHAnsi"/>
          <w:b/>
          <w:sz w:val="24"/>
          <w:szCs w:val="24"/>
        </w:rPr>
        <w:t>6.2.3</w:t>
      </w:r>
      <w:r>
        <w:rPr>
          <w:rFonts w:cstheme="minorHAnsi"/>
          <w:bCs/>
          <w:sz w:val="24"/>
          <w:szCs w:val="24"/>
        </w:rPr>
        <w:t xml:space="preserve"> </w:t>
      </w:r>
      <w:r w:rsidR="005B77F8" w:rsidRPr="00BB52A6">
        <w:rPr>
          <w:rFonts w:cstheme="minorHAnsi"/>
          <w:bCs/>
          <w:sz w:val="24"/>
          <w:szCs w:val="24"/>
        </w:rPr>
        <w:t xml:space="preserve">Since </w:t>
      </w:r>
      <w:r w:rsidR="009C6432" w:rsidRPr="00BB52A6">
        <w:rPr>
          <w:rFonts w:cstheme="minorHAnsi"/>
          <w:bCs/>
          <w:sz w:val="24"/>
          <w:szCs w:val="24"/>
        </w:rPr>
        <w:t>2021</w:t>
      </w:r>
      <w:r w:rsidR="005B77F8" w:rsidRPr="00BB52A6">
        <w:rPr>
          <w:rFonts w:cstheme="minorHAnsi"/>
          <w:bCs/>
          <w:sz w:val="24"/>
          <w:szCs w:val="24"/>
        </w:rPr>
        <w:t>, the University has been running menopause cafes for colleagues</w:t>
      </w:r>
      <w:r w:rsidR="00EC7B11" w:rsidRPr="00BB52A6">
        <w:rPr>
          <w:rFonts w:cstheme="minorHAnsi"/>
          <w:bCs/>
          <w:sz w:val="24"/>
          <w:szCs w:val="24"/>
        </w:rPr>
        <w:t xml:space="preserve">, </w:t>
      </w:r>
      <w:r w:rsidR="00E178F5" w:rsidRPr="00BB52A6">
        <w:rPr>
          <w:rFonts w:cstheme="minorHAnsi"/>
          <w:bCs/>
          <w:sz w:val="24"/>
          <w:szCs w:val="24"/>
        </w:rPr>
        <w:t>on</w:t>
      </w:r>
      <w:r w:rsidR="00EC7B11" w:rsidRPr="00BB52A6">
        <w:rPr>
          <w:rFonts w:cstheme="minorHAnsi"/>
          <w:bCs/>
          <w:sz w:val="24"/>
          <w:szCs w:val="24"/>
        </w:rPr>
        <w:t xml:space="preserve"> an average of four a year</w:t>
      </w:r>
      <w:r w:rsidR="00915A7F" w:rsidRPr="00BB52A6">
        <w:rPr>
          <w:rFonts w:cstheme="minorHAnsi"/>
          <w:bCs/>
          <w:sz w:val="24"/>
          <w:szCs w:val="24"/>
        </w:rPr>
        <w:t xml:space="preserve">. These have </w:t>
      </w:r>
      <w:r w:rsidR="006E3379" w:rsidRPr="00BB52A6">
        <w:rPr>
          <w:rFonts w:cstheme="minorHAnsi"/>
          <w:bCs/>
          <w:sz w:val="24"/>
          <w:szCs w:val="24"/>
        </w:rPr>
        <w:t>been enhanced with</w:t>
      </w:r>
      <w:r w:rsidR="00F61E1B" w:rsidRPr="00BB52A6">
        <w:rPr>
          <w:rFonts w:cstheme="minorHAnsi"/>
          <w:bCs/>
          <w:sz w:val="24"/>
          <w:szCs w:val="24"/>
        </w:rPr>
        <w:t xml:space="preserve"> seven</w:t>
      </w:r>
      <w:r w:rsidR="00915A7F" w:rsidRPr="00BB52A6">
        <w:rPr>
          <w:rFonts w:cstheme="minorHAnsi"/>
          <w:bCs/>
          <w:sz w:val="24"/>
          <w:szCs w:val="24"/>
        </w:rPr>
        <w:t xml:space="preserve"> </w:t>
      </w:r>
      <w:r w:rsidR="006E3379" w:rsidRPr="00BB52A6">
        <w:rPr>
          <w:rFonts w:cstheme="minorHAnsi"/>
          <w:bCs/>
          <w:sz w:val="24"/>
          <w:szCs w:val="24"/>
        </w:rPr>
        <w:t xml:space="preserve">specialist </w:t>
      </w:r>
      <w:r w:rsidR="00BA34BF" w:rsidRPr="00BB52A6">
        <w:rPr>
          <w:rFonts w:cstheme="minorHAnsi"/>
          <w:bCs/>
          <w:sz w:val="24"/>
          <w:szCs w:val="24"/>
        </w:rPr>
        <w:t>webinars on various aspects of menopause including, nutrition,</w:t>
      </w:r>
      <w:r w:rsidR="006E3379" w:rsidRPr="00BB52A6">
        <w:rPr>
          <w:rFonts w:cstheme="minorHAnsi"/>
          <w:bCs/>
          <w:sz w:val="24"/>
          <w:szCs w:val="24"/>
        </w:rPr>
        <w:t xml:space="preserve"> </w:t>
      </w:r>
      <w:r w:rsidR="002B1AE7" w:rsidRPr="00BB52A6">
        <w:rPr>
          <w:rFonts w:cstheme="minorHAnsi"/>
          <w:bCs/>
          <w:sz w:val="24"/>
          <w:szCs w:val="24"/>
        </w:rPr>
        <w:t>HRT</w:t>
      </w:r>
      <w:r w:rsidR="00F61E1B" w:rsidRPr="00BB52A6">
        <w:rPr>
          <w:rFonts w:cstheme="minorHAnsi"/>
          <w:bCs/>
          <w:sz w:val="24"/>
          <w:szCs w:val="24"/>
        </w:rPr>
        <w:t>, building resilienc</w:t>
      </w:r>
      <w:r w:rsidR="00193BB2" w:rsidRPr="00BB52A6">
        <w:rPr>
          <w:rFonts w:cstheme="minorHAnsi"/>
          <w:bCs/>
          <w:sz w:val="24"/>
          <w:szCs w:val="24"/>
        </w:rPr>
        <w:t>e,</w:t>
      </w:r>
      <w:r w:rsidR="00F61E1B" w:rsidRPr="00BB52A6">
        <w:rPr>
          <w:rFonts w:cstheme="minorHAnsi"/>
          <w:bCs/>
          <w:sz w:val="24"/>
          <w:szCs w:val="24"/>
        </w:rPr>
        <w:t xml:space="preserve"> self-care</w:t>
      </w:r>
      <w:r w:rsidR="00193BB2" w:rsidRPr="00BB52A6">
        <w:rPr>
          <w:rFonts w:cstheme="minorHAnsi"/>
          <w:bCs/>
          <w:sz w:val="24"/>
          <w:szCs w:val="24"/>
        </w:rPr>
        <w:t xml:space="preserve"> and menopause and the workplace</w:t>
      </w:r>
      <w:r w:rsidR="002B1AE7" w:rsidRPr="00BB52A6">
        <w:rPr>
          <w:rFonts w:cstheme="minorHAnsi"/>
          <w:bCs/>
          <w:sz w:val="24"/>
          <w:szCs w:val="24"/>
        </w:rPr>
        <w:t xml:space="preserve">. Out of these sessions, the University identified the need for a dedicated </w:t>
      </w:r>
      <w:hyperlink r:id="rId19" w:history="1">
        <w:r w:rsidR="00015860" w:rsidRPr="00E43C2E">
          <w:rPr>
            <w:rStyle w:val="Hyperlink"/>
            <w:rFonts w:cstheme="minorHAnsi"/>
            <w:bCs/>
            <w:color w:val="0070C0"/>
            <w:sz w:val="24"/>
            <w:szCs w:val="24"/>
          </w:rPr>
          <w:t>Menopause</w:t>
        </w:r>
        <w:r w:rsidR="00804077" w:rsidRPr="00E43C2E">
          <w:rPr>
            <w:rStyle w:val="Hyperlink"/>
            <w:rFonts w:cstheme="minorHAnsi"/>
            <w:bCs/>
            <w:color w:val="0070C0"/>
            <w:sz w:val="24"/>
            <w:szCs w:val="24"/>
          </w:rPr>
          <w:t xml:space="preserve"> and Hormonal Changes</w:t>
        </w:r>
        <w:r w:rsidR="00015860" w:rsidRPr="00E43C2E">
          <w:rPr>
            <w:rStyle w:val="Hyperlink"/>
            <w:rFonts w:cstheme="minorHAnsi"/>
            <w:bCs/>
            <w:color w:val="0070C0"/>
            <w:sz w:val="24"/>
            <w:szCs w:val="24"/>
          </w:rPr>
          <w:t xml:space="preserve"> Policy</w:t>
        </w:r>
      </w:hyperlink>
      <w:r w:rsidR="00015860" w:rsidRPr="00BB52A6">
        <w:rPr>
          <w:rFonts w:cstheme="minorHAnsi"/>
          <w:bCs/>
          <w:sz w:val="24"/>
          <w:szCs w:val="24"/>
        </w:rPr>
        <w:t xml:space="preserve"> </w:t>
      </w:r>
      <w:r w:rsidR="002B1AE7" w:rsidRPr="00BB52A6">
        <w:rPr>
          <w:rFonts w:cstheme="minorHAnsi"/>
          <w:bCs/>
          <w:sz w:val="24"/>
          <w:szCs w:val="24"/>
        </w:rPr>
        <w:t xml:space="preserve">to </w:t>
      </w:r>
      <w:r w:rsidR="0062311F" w:rsidRPr="00BB52A6">
        <w:rPr>
          <w:rFonts w:cstheme="minorHAnsi"/>
          <w:bCs/>
          <w:sz w:val="24"/>
          <w:szCs w:val="24"/>
        </w:rPr>
        <w:t xml:space="preserve">raise awareness, address stigma and </w:t>
      </w:r>
      <w:r w:rsidR="00410E57" w:rsidRPr="00BB52A6">
        <w:rPr>
          <w:rFonts w:cstheme="minorHAnsi"/>
          <w:bCs/>
          <w:sz w:val="24"/>
          <w:szCs w:val="24"/>
        </w:rPr>
        <w:t xml:space="preserve">support our colleagues. The policy was developed with our trade unions and in collaboration with academics who conduct research in this area. </w:t>
      </w:r>
      <w:r w:rsidR="001406EB" w:rsidRPr="00BB52A6">
        <w:rPr>
          <w:rFonts w:cstheme="minorHAnsi"/>
          <w:bCs/>
          <w:sz w:val="24"/>
          <w:szCs w:val="24"/>
        </w:rPr>
        <w:t>The policy was launched in October 2022</w:t>
      </w:r>
      <w:r w:rsidR="00DC7D8B" w:rsidRPr="00BB52A6">
        <w:rPr>
          <w:rFonts w:cstheme="minorHAnsi"/>
          <w:bCs/>
          <w:sz w:val="24"/>
          <w:szCs w:val="24"/>
        </w:rPr>
        <w:t xml:space="preserve">, with a </w:t>
      </w:r>
      <w:r w:rsidR="00645FFC" w:rsidRPr="00BB52A6">
        <w:rPr>
          <w:rFonts w:cstheme="minorHAnsi"/>
          <w:bCs/>
          <w:sz w:val="24"/>
          <w:szCs w:val="24"/>
        </w:rPr>
        <w:t>range of additional guidance and support materials</w:t>
      </w:r>
      <w:r w:rsidR="008A1BE2" w:rsidRPr="00BB52A6">
        <w:rPr>
          <w:rFonts w:cstheme="minorHAnsi"/>
          <w:bCs/>
          <w:sz w:val="24"/>
          <w:szCs w:val="24"/>
        </w:rPr>
        <w:t xml:space="preserve">, including </w:t>
      </w:r>
      <w:r w:rsidR="003E6FD1" w:rsidRPr="00BB52A6">
        <w:rPr>
          <w:rFonts w:cstheme="minorHAnsi"/>
          <w:bCs/>
          <w:sz w:val="24"/>
          <w:szCs w:val="24"/>
        </w:rPr>
        <w:t>on conversations</w:t>
      </w:r>
      <w:r w:rsidR="00984810" w:rsidRPr="00BB52A6">
        <w:rPr>
          <w:rFonts w:cstheme="minorHAnsi"/>
          <w:bCs/>
          <w:sz w:val="24"/>
          <w:szCs w:val="24"/>
        </w:rPr>
        <w:t xml:space="preserve"> with managers/</w:t>
      </w:r>
      <w:r w:rsidR="00E32C29" w:rsidRPr="00BB52A6">
        <w:rPr>
          <w:rFonts w:cstheme="minorHAnsi"/>
          <w:bCs/>
          <w:sz w:val="24"/>
          <w:szCs w:val="24"/>
        </w:rPr>
        <w:t>supervisors</w:t>
      </w:r>
      <w:r w:rsidR="00984810" w:rsidRPr="00BB52A6">
        <w:rPr>
          <w:rFonts w:cstheme="minorHAnsi"/>
          <w:bCs/>
          <w:sz w:val="24"/>
          <w:szCs w:val="24"/>
        </w:rPr>
        <w:t xml:space="preserve"> and GP’s.</w:t>
      </w:r>
      <w:r w:rsidR="008E054A" w:rsidRPr="00BB52A6">
        <w:rPr>
          <w:rFonts w:cstheme="minorHAnsi"/>
          <w:bCs/>
          <w:sz w:val="24"/>
          <w:szCs w:val="24"/>
        </w:rPr>
        <w:t xml:space="preserve"> The </w:t>
      </w:r>
      <w:r w:rsidR="00922ED7" w:rsidRPr="00E43C2E">
        <w:rPr>
          <w:rFonts w:cstheme="minorHAnsi"/>
          <w:bCs/>
          <w:sz w:val="24"/>
          <w:szCs w:val="24"/>
        </w:rPr>
        <w:t>Menopause</w:t>
      </w:r>
      <w:r w:rsidR="001A142E" w:rsidRPr="00E43C2E">
        <w:rPr>
          <w:rFonts w:cstheme="minorHAnsi"/>
          <w:bCs/>
          <w:sz w:val="24"/>
          <w:szCs w:val="24"/>
        </w:rPr>
        <w:t xml:space="preserve"> and </w:t>
      </w:r>
      <w:r w:rsidR="00BB52A6" w:rsidRPr="00E43C2E">
        <w:rPr>
          <w:rFonts w:cstheme="minorHAnsi"/>
          <w:bCs/>
          <w:sz w:val="24"/>
          <w:szCs w:val="24"/>
        </w:rPr>
        <w:t>Hormonal</w:t>
      </w:r>
      <w:r w:rsidR="001A142E" w:rsidRPr="00E43C2E">
        <w:rPr>
          <w:rFonts w:cstheme="minorHAnsi"/>
          <w:bCs/>
          <w:sz w:val="24"/>
          <w:szCs w:val="24"/>
        </w:rPr>
        <w:t xml:space="preserve"> Changes </w:t>
      </w:r>
      <w:r w:rsidR="00BB52A6" w:rsidRPr="00E43C2E">
        <w:rPr>
          <w:rFonts w:cstheme="minorHAnsi"/>
          <w:bCs/>
          <w:sz w:val="24"/>
          <w:szCs w:val="24"/>
        </w:rPr>
        <w:t>Policy</w:t>
      </w:r>
      <w:r w:rsidR="00BB52A6" w:rsidRPr="00BB52A6">
        <w:rPr>
          <w:rFonts w:cstheme="minorHAnsi"/>
          <w:bCs/>
          <w:sz w:val="24"/>
          <w:szCs w:val="24"/>
        </w:rPr>
        <w:t xml:space="preserve"> </w:t>
      </w:r>
      <w:hyperlink r:id="rId20" w:history="1">
        <w:r w:rsidR="008E054A" w:rsidRPr="00E43C2E">
          <w:rPr>
            <w:rStyle w:val="Hyperlink"/>
            <w:rFonts w:cstheme="minorHAnsi"/>
            <w:bCs/>
            <w:sz w:val="24"/>
            <w:szCs w:val="24"/>
          </w:rPr>
          <w:t>launch video</w:t>
        </w:r>
      </w:hyperlink>
      <w:r w:rsidR="004F186A" w:rsidRPr="00BB52A6">
        <w:rPr>
          <w:rFonts w:cstheme="minorHAnsi"/>
          <w:bCs/>
          <w:sz w:val="24"/>
          <w:szCs w:val="24"/>
        </w:rPr>
        <w:t xml:space="preserve"> features our academic colleagues who research in this space and </w:t>
      </w:r>
      <w:r w:rsidR="00922ED7" w:rsidRPr="00BB52A6">
        <w:rPr>
          <w:rFonts w:cstheme="minorHAnsi"/>
          <w:bCs/>
          <w:sz w:val="24"/>
          <w:szCs w:val="24"/>
        </w:rPr>
        <w:t>those who have benefited from the cafes.</w:t>
      </w:r>
    </w:p>
    <w:p w14:paraId="1C0F9D31" w14:textId="1D583405" w:rsidR="00015860" w:rsidRPr="00007BF6" w:rsidRDefault="002C6519" w:rsidP="0095338C">
      <w:pPr>
        <w:rPr>
          <w:rFonts w:cstheme="minorHAnsi"/>
          <w:bCs/>
          <w:sz w:val="24"/>
          <w:szCs w:val="24"/>
        </w:rPr>
      </w:pPr>
      <w:r w:rsidRPr="009F2765">
        <w:rPr>
          <w:rFonts w:cstheme="minorHAnsi"/>
          <w:b/>
          <w:sz w:val="24"/>
          <w:szCs w:val="24"/>
        </w:rPr>
        <w:t>6.2.4</w:t>
      </w:r>
      <w:r>
        <w:rPr>
          <w:rFonts w:cstheme="minorHAnsi"/>
          <w:bCs/>
          <w:sz w:val="24"/>
          <w:szCs w:val="24"/>
        </w:rPr>
        <w:t xml:space="preserve"> </w:t>
      </w:r>
      <w:r w:rsidR="00524690" w:rsidRPr="00007BF6">
        <w:rPr>
          <w:rFonts w:cstheme="minorHAnsi"/>
          <w:bCs/>
          <w:sz w:val="24"/>
          <w:szCs w:val="24"/>
        </w:rPr>
        <w:t>The University</w:t>
      </w:r>
      <w:r w:rsidR="00FF341E" w:rsidRPr="00007BF6">
        <w:rPr>
          <w:rFonts w:cstheme="minorHAnsi"/>
          <w:bCs/>
          <w:sz w:val="24"/>
          <w:szCs w:val="24"/>
        </w:rPr>
        <w:t xml:space="preserve"> has reviewed </w:t>
      </w:r>
      <w:r w:rsidR="00900C63" w:rsidRPr="00007BF6">
        <w:rPr>
          <w:rFonts w:cstheme="minorHAnsi"/>
          <w:bCs/>
          <w:sz w:val="24"/>
          <w:szCs w:val="24"/>
        </w:rPr>
        <w:t xml:space="preserve">its support </w:t>
      </w:r>
      <w:r w:rsidR="00887F0C" w:rsidRPr="00007BF6">
        <w:rPr>
          <w:rFonts w:cstheme="minorHAnsi"/>
          <w:bCs/>
          <w:sz w:val="24"/>
          <w:szCs w:val="24"/>
        </w:rPr>
        <w:t>for</w:t>
      </w:r>
      <w:r w:rsidR="00900C63" w:rsidRPr="00007BF6">
        <w:rPr>
          <w:rFonts w:cstheme="minorHAnsi"/>
          <w:bCs/>
          <w:sz w:val="24"/>
          <w:szCs w:val="24"/>
        </w:rPr>
        <w:t xml:space="preserve"> Disabled colleagues</w:t>
      </w:r>
      <w:r w:rsidR="00515117" w:rsidRPr="00007BF6">
        <w:rPr>
          <w:rFonts w:cstheme="minorHAnsi"/>
          <w:bCs/>
          <w:sz w:val="24"/>
          <w:szCs w:val="24"/>
        </w:rPr>
        <w:t xml:space="preserve"> w</w:t>
      </w:r>
      <w:r w:rsidR="00786A4B" w:rsidRPr="00007BF6">
        <w:rPr>
          <w:rFonts w:cstheme="minorHAnsi"/>
          <w:bCs/>
          <w:sz w:val="24"/>
          <w:szCs w:val="24"/>
        </w:rPr>
        <w:t>hen</w:t>
      </w:r>
      <w:r w:rsidR="00515117" w:rsidRPr="00007BF6">
        <w:rPr>
          <w:rFonts w:cstheme="minorHAnsi"/>
          <w:bCs/>
          <w:sz w:val="24"/>
          <w:szCs w:val="24"/>
        </w:rPr>
        <w:t xml:space="preserve"> implement</w:t>
      </w:r>
      <w:r w:rsidR="00786A4B" w:rsidRPr="00007BF6">
        <w:rPr>
          <w:rFonts w:cstheme="minorHAnsi"/>
          <w:bCs/>
          <w:sz w:val="24"/>
          <w:szCs w:val="24"/>
        </w:rPr>
        <w:t xml:space="preserve">ing </w:t>
      </w:r>
      <w:r w:rsidR="00515117" w:rsidRPr="00007BF6">
        <w:rPr>
          <w:rFonts w:cstheme="minorHAnsi"/>
          <w:bCs/>
          <w:sz w:val="24"/>
          <w:szCs w:val="24"/>
        </w:rPr>
        <w:t>reasonable adjustments.</w:t>
      </w:r>
      <w:r w:rsidR="00C51D31" w:rsidRPr="00007BF6">
        <w:rPr>
          <w:rFonts w:cstheme="minorHAnsi"/>
          <w:bCs/>
          <w:sz w:val="24"/>
          <w:szCs w:val="24"/>
        </w:rPr>
        <w:t xml:space="preserve"> This was motived by improving the experience of </w:t>
      </w:r>
      <w:r w:rsidR="0034190E" w:rsidRPr="00007BF6">
        <w:rPr>
          <w:rFonts w:cstheme="minorHAnsi"/>
          <w:bCs/>
          <w:sz w:val="24"/>
          <w:szCs w:val="24"/>
        </w:rPr>
        <w:t>D</w:t>
      </w:r>
      <w:r w:rsidR="00C51D31" w:rsidRPr="00007BF6">
        <w:rPr>
          <w:rFonts w:cstheme="minorHAnsi"/>
          <w:bCs/>
          <w:sz w:val="24"/>
          <w:szCs w:val="24"/>
        </w:rPr>
        <w:t xml:space="preserve">isabled colleagues, </w:t>
      </w:r>
      <w:r w:rsidR="00A01DDB" w:rsidRPr="00007BF6">
        <w:rPr>
          <w:rFonts w:cstheme="minorHAnsi"/>
          <w:bCs/>
          <w:sz w:val="24"/>
          <w:szCs w:val="24"/>
        </w:rPr>
        <w:t xml:space="preserve">removing the requirements </w:t>
      </w:r>
      <w:r w:rsidR="00DD547D" w:rsidRPr="00007BF6">
        <w:rPr>
          <w:rFonts w:cstheme="minorHAnsi"/>
          <w:bCs/>
          <w:sz w:val="24"/>
          <w:szCs w:val="24"/>
        </w:rPr>
        <w:t>for the Disability Service</w:t>
      </w:r>
      <w:r w:rsidR="0044085F">
        <w:rPr>
          <w:rFonts w:cstheme="minorHAnsi"/>
          <w:bCs/>
          <w:sz w:val="24"/>
          <w:szCs w:val="24"/>
        </w:rPr>
        <w:t xml:space="preserve"> to see employees</w:t>
      </w:r>
      <w:r w:rsidR="00DD547D" w:rsidRPr="00007BF6">
        <w:rPr>
          <w:rFonts w:cstheme="minorHAnsi"/>
          <w:bCs/>
          <w:sz w:val="24"/>
          <w:szCs w:val="24"/>
        </w:rPr>
        <w:t xml:space="preserve"> (</w:t>
      </w:r>
      <w:r w:rsidR="002443B9" w:rsidRPr="00007BF6">
        <w:rPr>
          <w:rFonts w:cstheme="minorHAnsi"/>
          <w:bCs/>
          <w:sz w:val="24"/>
          <w:szCs w:val="24"/>
        </w:rPr>
        <w:t>due to</w:t>
      </w:r>
      <w:r w:rsidR="00DD547D" w:rsidRPr="00007BF6">
        <w:rPr>
          <w:rFonts w:cstheme="minorHAnsi"/>
          <w:bCs/>
          <w:sz w:val="24"/>
          <w:szCs w:val="24"/>
        </w:rPr>
        <w:t xml:space="preserve"> the increase in </w:t>
      </w:r>
      <w:r w:rsidR="00AD029C" w:rsidRPr="00007BF6">
        <w:rPr>
          <w:rFonts w:cstheme="minorHAnsi"/>
          <w:bCs/>
          <w:sz w:val="24"/>
          <w:szCs w:val="24"/>
        </w:rPr>
        <w:t>Disabled student numbers</w:t>
      </w:r>
      <w:r w:rsidR="00DD547D" w:rsidRPr="00007BF6">
        <w:rPr>
          <w:rFonts w:cstheme="minorHAnsi"/>
          <w:bCs/>
          <w:sz w:val="24"/>
          <w:szCs w:val="24"/>
        </w:rPr>
        <w:t>) and with the aim of maximising the automation available t</w:t>
      </w:r>
      <w:r w:rsidR="0097140B" w:rsidRPr="00007BF6">
        <w:rPr>
          <w:rFonts w:cstheme="minorHAnsi"/>
          <w:bCs/>
          <w:sz w:val="24"/>
          <w:szCs w:val="24"/>
        </w:rPr>
        <w:t xml:space="preserve">hrough new systems. </w:t>
      </w:r>
      <w:r w:rsidR="00ED7E49" w:rsidRPr="00007BF6">
        <w:rPr>
          <w:rFonts w:cstheme="minorHAnsi"/>
          <w:bCs/>
          <w:sz w:val="24"/>
          <w:szCs w:val="24"/>
        </w:rPr>
        <w:t xml:space="preserve">This has resulted in a </w:t>
      </w:r>
      <w:hyperlink r:id="rId21" w:history="1">
        <w:r w:rsidR="00ED7E49" w:rsidRPr="00D77A87">
          <w:rPr>
            <w:rStyle w:val="Hyperlink"/>
            <w:rFonts w:cstheme="minorHAnsi"/>
            <w:bCs/>
            <w:sz w:val="24"/>
            <w:szCs w:val="24"/>
          </w:rPr>
          <w:t>Support of Disabled and Neurodiverse Colleagues</w:t>
        </w:r>
      </w:hyperlink>
      <w:r w:rsidR="00015860" w:rsidRPr="00007BF6">
        <w:rPr>
          <w:rFonts w:cstheme="minorHAnsi"/>
          <w:bCs/>
          <w:sz w:val="24"/>
          <w:szCs w:val="24"/>
        </w:rPr>
        <w:t xml:space="preserve"> Portal</w:t>
      </w:r>
      <w:r w:rsidR="00ED7E49" w:rsidRPr="00007BF6">
        <w:rPr>
          <w:rFonts w:cstheme="minorHAnsi"/>
          <w:bCs/>
          <w:sz w:val="24"/>
          <w:szCs w:val="24"/>
        </w:rPr>
        <w:t xml:space="preserve"> – this outlines the following:</w:t>
      </w:r>
    </w:p>
    <w:p w14:paraId="207A8CF9" w14:textId="769A8664" w:rsidR="00ED7E49" w:rsidRPr="00007BF6" w:rsidRDefault="00E05F65" w:rsidP="00756927">
      <w:pPr>
        <w:pStyle w:val="ListParagraph"/>
        <w:numPr>
          <w:ilvl w:val="0"/>
          <w:numId w:val="18"/>
        </w:numPr>
        <w:rPr>
          <w:rFonts w:cstheme="minorHAnsi"/>
          <w:bCs/>
          <w:sz w:val="24"/>
          <w:szCs w:val="24"/>
        </w:rPr>
      </w:pPr>
      <w:r w:rsidRPr="00007BF6">
        <w:rPr>
          <w:rFonts w:cstheme="minorHAnsi"/>
          <w:bCs/>
          <w:sz w:val="24"/>
          <w:szCs w:val="24"/>
        </w:rPr>
        <w:t>How to discuss adjustments and support</w:t>
      </w:r>
    </w:p>
    <w:p w14:paraId="35693456" w14:textId="44E51A4C" w:rsidR="00E05F65" w:rsidRPr="00007BF6" w:rsidRDefault="00E05F65" w:rsidP="00756927">
      <w:pPr>
        <w:pStyle w:val="ListParagraph"/>
        <w:numPr>
          <w:ilvl w:val="0"/>
          <w:numId w:val="18"/>
        </w:numPr>
        <w:rPr>
          <w:rFonts w:cstheme="minorHAnsi"/>
          <w:bCs/>
          <w:sz w:val="24"/>
          <w:szCs w:val="24"/>
        </w:rPr>
      </w:pPr>
      <w:r w:rsidRPr="00007BF6">
        <w:rPr>
          <w:rFonts w:cstheme="minorHAnsi"/>
          <w:bCs/>
          <w:sz w:val="24"/>
          <w:szCs w:val="24"/>
        </w:rPr>
        <w:t xml:space="preserve">Systems </w:t>
      </w:r>
      <w:r w:rsidR="00756927" w:rsidRPr="00007BF6">
        <w:rPr>
          <w:rFonts w:cstheme="minorHAnsi"/>
          <w:bCs/>
          <w:sz w:val="24"/>
          <w:szCs w:val="24"/>
        </w:rPr>
        <w:t>guidance</w:t>
      </w:r>
    </w:p>
    <w:p w14:paraId="397644F6" w14:textId="4F274DB1" w:rsidR="00E05F65" w:rsidRPr="00007BF6" w:rsidRDefault="00E05F65" w:rsidP="00756927">
      <w:pPr>
        <w:pStyle w:val="ListParagraph"/>
        <w:numPr>
          <w:ilvl w:val="0"/>
          <w:numId w:val="18"/>
        </w:numPr>
        <w:rPr>
          <w:rFonts w:cstheme="minorHAnsi"/>
          <w:bCs/>
          <w:sz w:val="24"/>
          <w:szCs w:val="24"/>
        </w:rPr>
      </w:pPr>
      <w:r w:rsidRPr="00007BF6">
        <w:rPr>
          <w:rFonts w:cstheme="minorHAnsi"/>
          <w:bCs/>
          <w:sz w:val="24"/>
          <w:szCs w:val="24"/>
        </w:rPr>
        <w:t>Process flow charts</w:t>
      </w:r>
    </w:p>
    <w:p w14:paraId="6D1B0E56" w14:textId="2CF644C6" w:rsidR="00E05F65" w:rsidRPr="00007BF6" w:rsidRDefault="00E05F65" w:rsidP="00756927">
      <w:pPr>
        <w:pStyle w:val="ListParagraph"/>
        <w:numPr>
          <w:ilvl w:val="0"/>
          <w:numId w:val="18"/>
        </w:numPr>
        <w:rPr>
          <w:rFonts w:cstheme="minorHAnsi"/>
          <w:bCs/>
          <w:sz w:val="24"/>
          <w:szCs w:val="24"/>
        </w:rPr>
      </w:pPr>
      <w:r w:rsidRPr="00007BF6">
        <w:rPr>
          <w:rFonts w:cstheme="minorHAnsi"/>
          <w:bCs/>
          <w:sz w:val="24"/>
          <w:szCs w:val="24"/>
        </w:rPr>
        <w:t xml:space="preserve">Information on </w:t>
      </w:r>
      <w:r w:rsidR="00756927" w:rsidRPr="00007BF6">
        <w:rPr>
          <w:rFonts w:cstheme="minorHAnsi"/>
          <w:bCs/>
          <w:sz w:val="24"/>
          <w:szCs w:val="24"/>
        </w:rPr>
        <w:t>Access</w:t>
      </w:r>
      <w:r w:rsidRPr="00007BF6">
        <w:rPr>
          <w:rFonts w:cstheme="minorHAnsi"/>
          <w:bCs/>
          <w:sz w:val="24"/>
          <w:szCs w:val="24"/>
        </w:rPr>
        <w:t xml:space="preserve"> to </w:t>
      </w:r>
      <w:r w:rsidR="00756927" w:rsidRPr="00007BF6">
        <w:rPr>
          <w:rFonts w:cstheme="minorHAnsi"/>
          <w:bCs/>
          <w:sz w:val="24"/>
          <w:szCs w:val="24"/>
        </w:rPr>
        <w:t>W</w:t>
      </w:r>
      <w:r w:rsidRPr="00007BF6">
        <w:rPr>
          <w:rFonts w:cstheme="minorHAnsi"/>
          <w:bCs/>
          <w:sz w:val="24"/>
          <w:szCs w:val="24"/>
        </w:rPr>
        <w:t>ork</w:t>
      </w:r>
    </w:p>
    <w:p w14:paraId="2B590E4E" w14:textId="043D934A" w:rsidR="00E05F65" w:rsidRPr="00007BF6" w:rsidRDefault="00756927" w:rsidP="00756927">
      <w:pPr>
        <w:pStyle w:val="ListParagraph"/>
        <w:numPr>
          <w:ilvl w:val="0"/>
          <w:numId w:val="18"/>
        </w:numPr>
        <w:rPr>
          <w:rFonts w:cstheme="minorHAnsi"/>
          <w:bCs/>
          <w:sz w:val="24"/>
          <w:szCs w:val="24"/>
        </w:rPr>
      </w:pPr>
      <w:r w:rsidRPr="00007BF6">
        <w:rPr>
          <w:rFonts w:cstheme="minorHAnsi"/>
          <w:bCs/>
          <w:sz w:val="24"/>
          <w:szCs w:val="24"/>
        </w:rPr>
        <w:t>Reasonable adjustment passport</w:t>
      </w:r>
    </w:p>
    <w:p w14:paraId="72440076" w14:textId="24AE9A5F" w:rsidR="00756927" w:rsidRPr="00007BF6" w:rsidRDefault="00756927" w:rsidP="00756927">
      <w:pPr>
        <w:pStyle w:val="ListParagraph"/>
        <w:numPr>
          <w:ilvl w:val="0"/>
          <w:numId w:val="18"/>
        </w:numPr>
        <w:rPr>
          <w:rFonts w:cstheme="minorHAnsi"/>
          <w:bCs/>
          <w:sz w:val="24"/>
          <w:szCs w:val="24"/>
        </w:rPr>
      </w:pPr>
      <w:r w:rsidRPr="00007BF6">
        <w:rPr>
          <w:rFonts w:cstheme="minorHAnsi"/>
          <w:bCs/>
          <w:sz w:val="24"/>
          <w:szCs w:val="24"/>
        </w:rPr>
        <w:t xml:space="preserve">Training on implementing reasonable </w:t>
      </w:r>
      <w:r w:rsidR="00007BF6" w:rsidRPr="00007BF6">
        <w:rPr>
          <w:rFonts w:cstheme="minorHAnsi"/>
          <w:bCs/>
          <w:sz w:val="24"/>
          <w:szCs w:val="24"/>
        </w:rPr>
        <w:t>adjustments.</w:t>
      </w:r>
    </w:p>
    <w:p w14:paraId="7A4B36A6" w14:textId="76E3597D" w:rsidR="00756927" w:rsidRPr="00007BF6" w:rsidRDefault="00756927" w:rsidP="00756927">
      <w:pPr>
        <w:pStyle w:val="ListParagraph"/>
        <w:numPr>
          <w:ilvl w:val="0"/>
          <w:numId w:val="18"/>
        </w:numPr>
        <w:rPr>
          <w:rFonts w:cstheme="minorHAnsi"/>
          <w:bCs/>
          <w:sz w:val="24"/>
          <w:szCs w:val="24"/>
          <w:lang w:val="fr-FR"/>
        </w:rPr>
      </w:pPr>
      <w:r w:rsidRPr="00007BF6">
        <w:rPr>
          <w:rFonts w:cstheme="minorHAnsi"/>
          <w:bCs/>
          <w:sz w:val="24"/>
          <w:szCs w:val="24"/>
        </w:rPr>
        <w:t>Neurodiversity</w:t>
      </w:r>
      <w:r w:rsidRPr="00007BF6">
        <w:rPr>
          <w:rFonts w:cstheme="minorHAnsi"/>
          <w:bCs/>
          <w:sz w:val="24"/>
          <w:szCs w:val="24"/>
          <w:lang w:val="fr-FR"/>
        </w:rPr>
        <w:t xml:space="preserve"> Resource Hub</w:t>
      </w:r>
    </w:p>
    <w:p w14:paraId="5DFEDD1B" w14:textId="4F8E857A" w:rsidR="00A00ED6" w:rsidRPr="00007BF6" w:rsidRDefault="00A00ED6" w:rsidP="00A00ED6">
      <w:pPr>
        <w:rPr>
          <w:rFonts w:cstheme="minorHAnsi"/>
          <w:bCs/>
          <w:sz w:val="24"/>
          <w:szCs w:val="24"/>
        </w:rPr>
      </w:pPr>
      <w:r w:rsidRPr="00007BF6">
        <w:rPr>
          <w:rFonts w:cstheme="minorHAnsi"/>
          <w:bCs/>
          <w:sz w:val="24"/>
          <w:szCs w:val="24"/>
        </w:rPr>
        <w:t>The portal was launched in June 2022, and the University will conduct a</w:t>
      </w:r>
      <w:r w:rsidR="007E769A">
        <w:rPr>
          <w:rFonts w:cstheme="minorHAnsi"/>
          <w:bCs/>
          <w:sz w:val="24"/>
          <w:szCs w:val="24"/>
        </w:rPr>
        <w:t>n</w:t>
      </w:r>
      <w:r w:rsidRPr="00007BF6">
        <w:rPr>
          <w:rFonts w:cstheme="minorHAnsi"/>
          <w:bCs/>
          <w:sz w:val="24"/>
          <w:szCs w:val="24"/>
        </w:rPr>
        <w:t xml:space="preserve"> </w:t>
      </w:r>
      <w:r w:rsidR="00007BF6" w:rsidRPr="00007BF6">
        <w:rPr>
          <w:rFonts w:cstheme="minorHAnsi"/>
          <w:bCs/>
          <w:sz w:val="24"/>
          <w:szCs w:val="24"/>
        </w:rPr>
        <w:t>evaluation of the process after 12 months.</w:t>
      </w:r>
    </w:p>
    <w:p w14:paraId="0A51B3FE" w14:textId="0E66781C" w:rsidR="00B648A8" w:rsidRPr="00514A0E" w:rsidRDefault="002C6519" w:rsidP="00B648A8">
      <w:pPr>
        <w:rPr>
          <w:rFonts w:cstheme="minorHAnsi"/>
          <w:bCs/>
          <w:sz w:val="24"/>
          <w:szCs w:val="24"/>
        </w:rPr>
      </w:pPr>
      <w:r w:rsidRPr="009F2765">
        <w:rPr>
          <w:rFonts w:cstheme="minorHAnsi"/>
          <w:b/>
          <w:sz w:val="24"/>
          <w:szCs w:val="24"/>
        </w:rPr>
        <w:t>6.2.5</w:t>
      </w:r>
      <w:r>
        <w:rPr>
          <w:rFonts w:cstheme="minorHAnsi"/>
          <w:bCs/>
          <w:sz w:val="24"/>
          <w:szCs w:val="24"/>
        </w:rPr>
        <w:t xml:space="preserve"> </w:t>
      </w:r>
      <w:r w:rsidR="00F57F9F" w:rsidRPr="00514A0E">
        <w:rPr>
          <w:rFonts w:cstheme="minorHAnsi"/>
          <w:bCs/>
          <w:sz w:val="24"/>
          <w:szCs w:val="24"/>
        </w:rPr>
        <w:t xml:space="preserve">Since 2021, </w:t>
      </w:r>
      <w:r w:rsidR="00C44F35" w:rsidRPr="00514A0E">
        <w:rPr>
          <w:rFonts w:cstheme="minorHAnsi"/>
          <w:bCs/>
          <w:sz w:val="24"/>
          <w:szCs w:val="24"/>
        </w:rPr>
        <w:t xml:space="preserve">a </w:t>
      </w:r>
      <w:r w:rsidR="005E07B6" w:rsidRPr="00514A0E">
        <w:rPr>
          <w:rFonts w:cstheme="minorHAnsi"/>
          <w:bCs/>
          <w:sz w:val="24"/>
          <w:szCs w:val="24"/>
        </w:rPr>
        <w:t>technic</w:t>
      </w:r>
      <w:r w:rsidR="009519B6" w:rsidRPr="00514A0E">
        <w:rPr>
          <w:rFonts w:cstheme="minorHAnsi"/>
          <w:bCs/>
          <w:sz w:val="24"/>
          <w:szCs w:val="24"/>
        </w:rPr>
        <w:t xml:space="preserve">ian </w:t>
      </w:r>
      <w:r w:rsidR="00AF029D" w:rsidRPr="00514A0E">
        <w:rPr>
          <w:rFonts w:cstheme="minorHAnsi"/>
          <w:bCs/>
          <w:sz w:val="24"/>
          <w:szCs w:val="24"/>
        </w:rPr>
        <w:t>from the College of MVLS</w:t>
      </w:r>
      <w:r w:rsidR="004248E7" w:rsidRPr="00514A0E">
        <w:rPr>
          <w:rFonts w:cstheme="minorHAnsi"/>
          <w:bCs/>
          <w:sz w:val="24"/>
          <w:szCs w:val="24"/>
        </w:rPr>
        <w:t xml:space="preserve"> has been running</w:t>
      </w:r>
      <w:r w:rsidR="00A637A6" w:rsidRPr="00514A0E">
        <w:rPr>
          <w:rFonts w:cstheme="minorHAnsi"/>
          <w:bCs/>
          <w:sz w:val="24"/>
          <w:szCs w:val="24"/>
        </w:rPr>
        <w:t xml:space="preserve"> Science </w:t>
      </w:r>
      <w:r w:rsidR="004248E7" w:rsidRPr="00514A0E">
        <w:rPr>
          <w:rFonts w:cstheme="minorHAnsi"/>
          <w:bCs/>
          <w:sz w:val="24"/>
          <w:szCs w:val="24"/>
        </w:rPr>
        <w:t>T</w:t>
      </w:r>
      <w:r w:rsidR="00A637A6" w:rsidRPr="00514A0E">
        <w:rPr>
          <w:rFonts w:cstheme="minorHAnsi"/>
          <w:bCs/>
          <w:sz w:val="24"/>
          <w:szCs w:val="24"/>
        </w:rPr>
        <w:t>ravels</w:t>
      </w:r>
      <w:r w:rsidR="004248E7" w:rsidRPr="00514A0E">
        <w:rPr>
          <w:rFonts w:cstheme="minorHAnsi"/>
          <w:bCs/>
          <w:sz w:val="24"/>
          <w:szCs w:val="24"/>
        </w:rPr>
        <w:t>, a programme to support</w:t>
      </w:r>
      <w:r w:rsidR="005C6B9E" w:rsidRPr="00514A0E">
        <w:rPr>
          <w:rFonts w:cstheme="minorHAnsi"/>
          <w:bCs/>
          <w:sz w:val="24"/>
          <w:szCs w:val="24"/>
        </w:rPr>
        <w:t xml:space="preserve"> promotion of STEMM to </w:t>
      </w:r>
      <w:r w:rsidR="00425103" w:rsidRPr="00514A0E">
        <w:rPr>
          <w:rFonts w:cstheme="minorHAnsi"/>
          <w:bCs/>
          <w:sz w:val="24"/>
          <w:szCs w:val="24"/>
        </w:rPr>
        <w:t xml:space="preserve">people from Gypsy, </w:t>
      </w:r>
      <w:r w:rsidR="009F1A34" w:rsidRPr="00514A0E">
        <w:rPr>
          <w:rFonts w:cstheme="minorHAnsi"/>
          <w:bCs/>
          <w:sz w:val="24"/>
          <w:szCs w:val="24"/>
        </w:rPr>
        <w:t>Roma</w:t>
      </w:r>
      <w:r w:rsidR="0054310F" w:rsidRPr="00514A0E">
        <w:rPr>
          <w:rFonts w:cstheme="minorHAnsi"/>
          <w:bCs/>
          <w:sz w:val="24"/>
          <w:szCs w:val="24"/>
        </w:rPr>
        <w:t xml:space="preserve">, </w:t>
      </w:r>
      <w:r w:rsidR="00425103" w:rsidRPr="00514A0E">
        <w:rPr>
          <w:rFonts w:cstheme="minorHAnsi"/>
          <w:bCs/>
          <w:sz w:val="24"/>
          <w:szCs w:val="24"/>
        </w:rPr>
        <w:t>Traveller</w:t>
      </w:r>
      <w:r w:rsidR="00777EDF" w:rsidRPr="00514A0E">
        <w:rPr>
          <w:rFonts w:cstheme="minorHAnsi"/>
          <w:bCs/>
          <w:sz w:val="24"/>
          <w:szCs w:val="24"/>
        </w:rPr>
        <w:t>, Showman and Boater (GRT</w:t>
      </w:r>
      <w:r w:rsidR="009023C6" w:rsidRPr="00514A0E">
        <w:rPr>
          <w:rFonts w:cstheme="minorHAnsi"/>
          <w:bCs/>
          <w:sz w:val="24"/>
          <w:szCs w:val="24"/>
        </w:rPr>
        <w:t>SB)</w:t>
      </w:r>
      <w:r w:rsidR="00777EDF" w:rsidRPr="00514A0E">
        <w:rPr>
          <w:rFonts w:cstheme="minorHAnsi"/>
          <w:bCs/>
          <w:sz w:val="24"/>
          <w:szCs w:val="24"/>
        </w:rPr>
        <w:t xml:space="preserve"> communities.</w:t>
      </w:r>
      <w:r w:rsidR="009300A1" w:rsidRPr="00514A0E">
        <w:rPr>
          <w:rFonts w:cstheme="minorHAnsi"/>
          <w:bCs/>
          <w:sz w:val="24"/>
          <w:szCs w:val="24"/>
        </w:rPr>
        <w:t xml:space="preserve"> The programme involves a range of </w:t>
      </w:r>
      <w:r w:rsidR="0020234F" w:rsidRPr="00514A0E">
        <w:rPr>
          <w:rFonts w:cstheme="minorHAnsi"/>
          <w:bCs/>
          <w:sz w:val="24"/>
          <w:szCs w:val="24"/>
        </w:rPr>
        <w:t>activities</w:t>
      </w:r>
      <w:r w:rsidR="009300A1" w:rsidRPr="00514A0E">
        <w:rPr>
          <w:rFonts w:cstheme="minorHAnsi"/>
          <w:bCs/>
          <w:sz w:val="24"/>
          <w:szCs w:val="24"/>
        </w:rPr>
        <w:t>, including</w:t>
      </w:r>
      <w:r w:rsidR="00B648A8" w:rsidRPr="00514A0E">
        <w:rPr>
          <w:rFonts w:cstheme="minorHAnsi"/>
          <w:bCs/>
          <w:sz w:val="24"/>
          <w:szCs w:val="24"/>
        </w:rPr>
        <w:t>:</w:t>
      </w:r>
    </w:p>
    <w:p w14:paraId="180F0C94" w14:textId="120E3194" w:rsidR="00172B44" w:rsidRPr="00514A0E" w:rsidRDefault="002F7AD2" w:rsidP="004D1203">
      <w:pPr>
        <w:pStyle w:val="ListParagraph"/>
        <w:numPr>
          <w:ilvl w:val="0"/>
          <w:numId w:val="19"/>
        </w:numPr>
        <w:rPr>
          <w:rFonts w:cstheme="minorHAnsi"/>
          <w:bCs/>
          <w:sz w:val="24"/>
          <w:szCs w:val="24"/>
        </w:rPr>
      </w:pPr>
      <w:r w:rsidRPr="00514A0E">
        <w:rPr>
          <w:rFonts w:cstheme="minorHAnsi"/>
          <w:bCs/>
          <w:sz w:val="24"/>
          <w:szCs w:val="24"/>
        </w:rPr>
        <w:t>P</w:t>
      </w:r>
      <w:r w:rsidR="009300A1" w:rsidRPr="00514A0E">
        <w:rPr>
          <w:rFonts w:cstheme="minorHAnsi"/>
          <w:bCs/>
          <w:sz w:val="24"/>
          <w:szCs w:val="24"/>
        </w:rPr>
        <w:t>resentations in schools with traditionally higher populations of G</w:t>
      </w:r>
      <w:r w:rsidR="00D61919" w:rsidRPr="00514A0E">
        <w:rPr>
          <w:rFonts w:cstheme="minorHAnsi"/>
          <w:bCs/>
          <w:sz w:val="24"/>
          <w:szCs w:val="24"/>
        </w:rPr>
        <w:t>RTSB populations</w:t>
      </w:r>
      <w:r w:rsidR="004D1203" w:rsidRPr="00514A0E">
        <w:rPr>
          <w:rFonts w:cstheme="minorHAnsi"/>
          <w:bCs/>
          <w:sz w:val="24"/>
          <w:szCs w:val="24"/>
        </w:rPr>
        <w:t>.</w:t>
      </w:r>
    </w:p>
    <w:p w14:paraId="2D60A226" w14:textId="531C3223" w:rsidR="00015860" w:rsidRPr="00514A0E" w:rsidRDefault="004D1203" w:rsidP="004D1203">
      <w:pPr>
        <w:pStyle w:val="ListParagraph"/>
        <w:numPr>
          <w:ilvl w:val="0"/>
          <w:numId w:val="19"/>
        </w:numPr>
        <w:rPr>
          <w:rFonts w:cstheme="minorHAnsi"/>
          <w:bCs/>
          <w:sz w:val="24"/>
          <w:szCs w:val="24"/>
        </w:rPr>
      </w:pPr>
      <w:r w:rsidRPr="00514A0E">
        <w:rPr>
          <w:rFonts w:cstheme="minorHAnsi"/>
          <w:bCs/>
          <w:sz w:val="24"/>
          <w:szCs w:val="24"/>
        </w:rPr>
        <w:t>H</w:t>
      </w:r>
      <w:r w:rsidR="000A216A" w:rsidRPr="00514A0E">
        <w:rPr>
          <w:rFonts w:cstheme="minorHAnsi"/>
          <w:bCs/>
          <w:sz w:val="24"/>
          <w:szCs w:val="24"/>
        </w:rPr>
        <w:t xml:space="preserve">osting </w:t>
      </w:r>
      <w:r w:rsidR="0005216D" w:rsidRPr="00514A0E">
        <w:rPr>
          <w:rFonts w:cstheme="minorHAnsi"/>
          <w:bCs/>
          <w:sz w:val="24"/>
          <w:szCs w:val="24"/>
        </w:rPr>
        <w:t>summer studentships</w:t>
      </w:r>
      <w:r w:rsidR="000A216A" w:rsidRPr="00514A0E">
        <w:rPr>
          <w:rFonts w:cstheme="minorHAnsi"/>
          <w:bCs/>
          <w:sz w:val="24"/>
          <w:szCs w:val="24"/>
        </w:rPr>
        <w:t xml:space="preserve"> for students from GRTSB communities</w:t>
      </w:r>
      <w:r w:rsidR="000A05BB" w:rsidRPr="00514A0E">
        <w:rPr>
          <w:rFonts w:cstheme="minorHAnsi"/>
          <w:bCs/>
          <w:sz w:val="24"/>
          <w:szCs w:val="24"/>
        </w:rPr>
        <w:t>, examples include</w:t>
      </w:r>
      <w:r w:rsidR="00E52CD6" w:rsidRPr="00514A0E">
        <w:rPr>
          <w:rFonts w:cstheme="minorHAnsi"/>
          <w:bCs/>
          <w:sz w:val="24"/>
          <w:szCs w:val="24"/>
        </w:rPr>
        <w:t xml:space="preserve"> designing a</w:t>
      </w:r>
      <w:r w:rsidR="002769F9" w:rsidRPr="00514A0E">
        <w:rPr>
          <w:rFonts w:cstheme="minorHAnsi"/>
          <w:bCs/>
          <w:sz w:val="24"/>
          <w:szCs w:val="24"/>
        </w:rPr>
        <w:t xml:space="preserve"> marine biology game for s</w:t>
      </w:r>
      <w:r w:rsidR="005B1EF8" w:rsidRPr="00514A0E">
        <w:rPr>
          <w:rFonts w:cstheme="minorHAnsi"/>
          <w:bCs/>
          <w:sz w:val="24"/>
          <w:szCs w:val="24"/>
        </w:rPr>
        <w:t>chool pupils</w:t>
      </w:r>
      <w:r w:rsidR="00A84662" w:rsidRPr="00514A0E">
        <w:rPr>
          <w:rFonts w:cstheme="minorHAnsi"/>
          <w:bCs/>
          <w:sz w:val="24"/>
          <w:szCs w:val="24"/>
        </w:rPr>
        <w:t xml:space="preserve">, </w:t>
      </w:r>
      <w:r w:rsidR="000C2562" w:rsidRPr="00514A0E">
        <w:rPr>
          <w:rFonts w:cstheme="minorHAnsi"/>
          <w:bCs/>
          <w:sz w:val="24"/>
          <w:szCs w:val="24"/>
        </w:rPr>
        <w:t>a lesson</w:t>
      </w:r>
      <w:r w:rsidR="005E07B6" w:rsidRPr="00514A0E">
        <w:rPr>
          <w:rFonts w:cstheme="minorHAnsi"/>
          <w:bCs/>
          <w:sz w:val="24"/>
          <w:szCs w:val="24"/>
        </w:rPr>
        <w:t xml:space="preserve"> using </w:t>
      </w:r>
      <w:r w:rsidR="00193A73" w:rsidRPr="00514A0E">
        <w:rPr>
          <w:rFonts w:cstheme="minorHAnsi"/>
          <w:bCs/>
          <w:sz w:val="24"/>
          <w:szCs w:val="24"/>
        </w:rPr>
        <w:t>the ADInstruments</w:t>
      </w:r>
      <w:r w:rsidR="00B648A8" w:rsidRPr="00514A0E">
        <w:rPr>
          <w:rFonts w:cstheme="minorHAnsi"/>
          <w:bCs/>
          <w:sz w:val="24"/>
          <w:szCs w:val="24"/>
        </w:rPr>
        <w:t xml:space="preserve"> biosensors aimed at underpinning the physiology of exercise in primary school PE teaching</w:t>
      </w:r>
      <w:r w:rsidRPr="00514A0E">
        <w:rPr>
          <w:rFonts w:cstheme="minorHAnsi"/>
          <w:bCs/>
          <w:sz w:val="24"/>
          <w:szCs w:val="24"/>
        </w:rPr>
        <w:t>.</w:t>
      </w:r>
    </w:p>
    <w:p w14:paraId="5CF07DFE" w14:textId="09EBCF0F" w:rsidR="00BA1A6B" w:rsidRPr="00514A0E" w:rsidRDefault="00BA1A6B" w:rsidP="004D1203">
      <w:pPr>
        <w:pStyle w:val="ListParagraph"/>
        <w:numPr>
          <w:ilvl w:val="0"/>
          <w:numId w:val="19"/>
        </w:numPr>
        <w:rPr>
          <w:rFonts w:cstheme="minorHAnsi"/>
          <w:bCs/>
          <w:sz w:val="24"/>
          <w:szCs w:val="24"/>
        </w:rPr>
      </w:pPr>
      <w:r w:rsidRPr="00514A0E">
        <w:rPr>
          <w:rFonts w:cstheme="minorHAnsi"/>
          <w:bCs/>
          <w:sz w:val="24"/>
          <w:szCs w:val="24"/>
        </w:rPr>
        <w:lastRenderedPageBreak/>
        <w:t xml:space="preserve">Attending policy influencing events in </w:t>
      </w:r>
      <w:r w:rsidR="00B213C0" w:rsidRPr="00514A0E">
        <w:rPr>
          <w:rFonts w:cstheme="minorHAnsi"/>
          <w:bCs/>
          <w:sz w:val="24"/>
          <w:szCs w:val="24"/>
        </w:rPr>
        <w:t>Westminster</w:t>
      </w:r>
      <w:r w:rsidRPr="00514A0E">
        <w:rPr>
          <w:rFonts w:cstheme="minorHAnsi"/>
          <w:bCs/>
          <w:sz w:val="24"/>
          <w:szCs w:val="24"/>
        </w:rPr>
        <w:t xml:space="preserve"> and Holyrood promoting the importance of GRTSB community engagement and the potential in STEMM </w:t>
      </w:r>
      <w:r w:rsidR="002D341F" w:rsidRPr="00514A0E">
        <w:rPr>
          <w:rFonts w:cstheme="minorHAnsi"/>
          <w:bCs/>
          <w:sz w:val="24"/>
          <w:szCs w:val="24"/>
        </w:rPr>
        <w:t>careers.</w:t>
      </w:r>
    </w:p>
    <w:p w14:paraId="4ACBA988" w14:textId="36DC953A" w:rsidR="00C333FE" w:rsidRPr="00514A0E" w:rsidRDefault="00C333FE" w:rsidP="004D1203">
      <w:pPr>
        <w:pStyle w:val="ListParagraph"/>
        <w:numPr>
          <w:ilvl w:val="0"/>
          <w:numId w:val="19"/>
        </w:numPr>
        <w:rPr>
          <w:rFonts w:cstheme="minorHAnsi"/>
          <w:bCs/>
          <w:sz w:val="24"/>
          <w:szCs w:val="24"/>
        </w:rPr>
      </w:pPr>
      <w:r w:rsidRPr="00514A0E">
        <w:rPr>
          <w:rFonts w:cstheme="minorHAnsi"/>
          <w:bCs/>
          <w:sz w:val="24"/>
          <w:szCs w:val="24"/>
        </w:rPr>
        <w:t>Developing lessons with Medicine and Nursing colleagues in MVLS</w:t>
      </w:r>
      <w:r w:rsidR="00EC7ECC" w:rsidRPr="00514A0E">
        <w:rPr>
          <w:rFonts w:cstheme="minorHAnsi"/>
          <w:bCs/>
          <w:sz w:val="24"/>
          <w:szCs w:val="24"/>
        </w:rPr>
        <w:t xml:space="preserve"> to further understanding of GRTSB healthcare inequalities</w:t>
      </w:r>
      <w:r w:rsidR="00F9792E" w:rsidRPr="00514A0E">
        <w:rPr>
          <w:rFonts w:cstheme="minorHAnsi"/>
          <w:bCs/>
          <w:sz w:val="24"/>
          <w:szCs w:val="24"/>
        </w:rPr>
        <w:t xml:space="preserve"> for students</w:t>
      </w:r>
      <w:r w:rsidR="004D1203" w:rsidRPr="00514A0E">
        <w:rPr>
          <w:rFonts w:cstheme="minorHAnsi"/>
          <w:bCs/>
          <w:sz w:val="24"/>
          <w:szCs w:val="24"/>
        </w:rPr>
        <w:t>.</w:t>
      </w:r>
    </w:p>
    <w:p w14:paraId="221FF124" w14:textId="77777777" w:rsidR="00B213C0" w:rsidRPr="00514A0E" w:rsidRDefault="00724C92" w:rsidP="0095338C">
      <w:pPr>
        <w:rPr>
          <w:rFonts w:cstheme="minorHAnsi"/>
          <w:bCs/>
          <w:sz w:val="24"/>
          <w:szCs w:val="24"/>
        </w:rPr>
      </w:pPr>
      <w:r w:rsidRPr="00514A0E">
        <w:rPr>
          <w:rFonts w:cstheme="minorHAnsi"/>
          <w:bCs/>
          <w:sz w:val="24"/>
          <w:szCs w:val="24"/>
        </w:rPr>
        <w:t xml:space="preserve">This is a </w:t>
      </w:r>
      <w:r w:rsidR="00B213C0" w:rsidRPr="00514A0E">
        <w:rPr>
          <w:rFonts w:cstheme="minorHAnsi"/>
          <w:bCs/>
          <w:sz w:val="24"/>
          <w:szCs w:val="24"/>
        </w:rPr>
        <w:t xml:space="preserve">rarely heard community, and therefore extending these potential educational opportunities is an imperative. </w:t>
      </w:r>
    </w:p>
    <w:p w14:paraId="50BD5652" w14:textId="264A3D3F" w:rsidR="0005244C" w:rsidRPr="00211983" w:rsidRDefault="002C6519" w:rsidP="0095338C">
      <w:pPr>
        <w:rPr>
          <w:rFonts w:cstheme="minorHAnsi"/>
          <w:bCs/>
          <w:sz w:val="24"/>
          <w:szCs w:val="24"/>
        </w:rPr>
      </w:pPr>
      <w:r w:rsidRPr="009F2765">
        <w:rPr>
          <w:rFonts w:cstheme="minorHAnsi"/>
          <w:b/>
          <w:sz w:val="24"/>
          <w:szCs w:val="24"/>
        </w:rPr>
        <w:t>6.2.5</w:t>
      </w:r>
      <w:r>
        <w:rPr>
          <w:rFonts w:cstheme="minorHAnsi"/>
          <w:bCs/>
          <w:sz w:val="24"/>
          <w:szCs w:val="24"/>
        </w:rPr>
        <w:t xml:space="preserve"> </w:t>
      </w:r>
      <w:r w:rsidR="00FB1E8F" w:rsidRPr="00211983">
        <w:rPr>
          <w:rFonts w:cstheme="minorHAnsi"/>
          <w:bCs/>
          <w:sz w:val="24"/>
          <w:szCs w:val="24"/>
        </w:rPr>
        <w:t xml:space="preserve">The </w:t>
      </w:r>
      <w:r w:rsidR="00CD72D0" w:rsidRPr="00211983">
        <w:rPr>
          <w:rFonts w:cstheme="minorHAnsi"/>
          <w:bCs/>
          <w:sz w:val="24"/>
          <w:szCs w:val="24"/>
        </w:rPr>
        <w:t>Disability Service</w:t>
      </w:r>
      <w:r w:rsidR="00FB1E8F" w:rsidRPr="00211983">
        <w:rPr>
          <w:rFonts w:cstheme="minorHAnsi"/>
          <w:bCs/>
          <w:sz w:val="24"/>
          <w:szCs w:val="24"/>
        </w:rPr>
        <w:t xml:space="preserve"> conducted a significant review in the period p</w:t>
      </w:r>
      <w:r w:rsidR="0037049D" w:rsidRPr="00211983">
        <w:rPr>
          <w:rFonts w:cstheme="minorHAnsi"/>
          <w:bCs/>
          <w:sz w:val="24"/>
          <w:szCs w:val="24"/>
        </w:rPr>
        <w:t xml:space="preserve">rior to 2021, and implementation has been ongoing since that period. </w:t>
      </w:r>
      <w:r w:rsidR="005B7578" w:rsidRPr="00211983">
        <w:rPr>
          <w:rFonts w:cstheme="minorHAnsi"/>
          <w:bCs/>
          <w:sz w:val="24"/>
          <w:szCs w:val="24"/>
        </w:rPr>
        <w:t xml:space="preserve">The programme of work is significant, and </w:t>
      </w:r>
      <w:r w:rsidR="00071E30" w:rsidRPr="00211983">
        <w:rPr>
          <w:rFonts w:cstheme="minorHAnsi"/>
          <w:bCs/>
          <w:sz w:val="24"/>
          <w:szCs w:val="24"/>
        </w:rPr>
        <w:t>progress is ongoing, however since 2021 the following has been mainstreamed:</w:t>
      </w:r>
    </w:p>
    <w:p w14:paraId="0A951CC9" w14:textId="75D2D307" w:rsidR="00071E30" w:rsidRPr="00211983" w:rsidRDefault="003023A8" w:rsidP="00211983">
      <w:pPr>
        <w:pStyle w:val="ListParagraph"/>
        <w:numPr>
          <w:ilvl w:val="0"/>
          <w:numId w:val="20"/>
        </w:numPr>
        <w:rPr>
          <w:rFonts w:cstheme="minorHAnsi"/>
          <w:bCs/>
          <w:sz w:val="24"/>
          <w:szCs w:val="24"/>
        </w:rPr>
      </w:pPr>
      <w:r w:rsidRPr="00211983">
        <w:rPr>
          <w:rFonts w:cstheme="minorHAnsi"/>
          <w:bCs/>
          <w:sz w:val="24"/>
          <w:szCs w:val="24"/>
        </w:rPr>
        <w:t xml:space="preserve">Investment of £300k in the service to support additional </w:t>
      </w:r>
      <w:r w:rsidR="00491769" w:rsidRPr="00211983">
        <w:rPr>
          <w:rFonts w:cstheme="minorHAnsi"/>
          <w:bCs/>
          <w:sz w:val="24"/>
          <w:szCs w:val="24"/>
        </w:rPr>
        <w:t>operational</w:t>
      </w:r>
      <w:r w:rsidR="004975B6" w:rsidRPr="00211983">
        <w:rPr>
          <w:rFonts w:cstheme="minorHAnsi"/>
          <w:bCs/>
          <w:sz w:val="24"/>
          <w:szCs w:val="24"/>
        </w:rPr>
        <w:t xml:space="preserve"> manager, </w:t>
      </w:r>
      <w:r w:rsidR="005E6C81" w:rsidRPr="00211983">
        <w:rPr>
          <w:rFonts w:cstheme="minorHAnsi"/>
          <w:bCs/>
          <w:sz w:val="24"/>
          <w:szCs w:val="24"/>
        </w:rPr>
        <w:t xml:space="preserve">increase the </w:t>
      </w:r>
      <w:r w:rsidR="00025D1C" w:rsidRPr="00211983">
        <w:rPr>
          <w:rFonts w:cstheme="minorHAnsi"/>
          <w:bCs/>
          <w:sz w:val="24"/>
          <w:szCs w:val="24"/>
        </w:rPr>
        <w:t>D</w:t>
      </w:r>
      <w:r w:rsidR="004975B6" w:rsidRPr="00211983">
        <w:rPr>
          <w:rFonts w:cstheme="minorHAnsi"/>
          <w:bCs/>
          <w:sz w:val="24"/>
          <w:szCs w:val="24"/>
        </w:rPr>
        <w:t xml:space="preserve">isability </w:t>
      </w:r>
      <w:r w:rsidR="00025D1C" w:rsidRPr="00211983">
        <w:rPr>
          <w:rFonts w:cstheme="minorHAnsi"/>
          <w:bCs/>
          <w:sz w:val="24"/>
          <w:szCs w:val="24"/>
        </w:rPr>
        <w:t xml:space="preserve">Advisors </w:t>
      </w:r>
      <w:r w:rsidR="00857040" w:rsidRPr="00211983">
        <w:rPr>
          <w:rFonts w:cstheme="minorHAnsi"/>
          <w:bCs/>
          <w:sz w:val="24"/>
          <w:szCs w:val="24"/>
        </w:rPr>
        <w:t>from 4FTE to 6.5FTE</w:t>
      </w:r>
      <w:r w:rsidR="00447608" w:rsidRPr="00211983">
        <w:rPr>
          <w:rFonts w:cstheme="minorHAnsi"/>
          <w:bCs/>
          <w:sz w:val="24"/>
          <w:szCs w:val="24"/>
        </w:rPr>
        <w:t xml:space="preserve">, </w:t>
      </w:r>
      <w:r w:rsidR="00F54A8F" w:rsidRPr="00211983">
        <w:rPr>
          <w:rFonts w:cstheme="minorHAnsi"/>
          <w:bCs/>
          <w:sz w:val="24"/>
          <w:szCs w:val="24"/>
        </w:rPr>
        <w:t xml:space="preserve">1 FTE Mental Health Disability </w:t>
      </w:r>
      <w:r w:rsidR="00A77977" w:rsidRPr="00211983">
        <w:rPr>
          <w:rFonts w:cstheme="minorHAnsi"/>
          <w:bCs/>
          <w:sz w:val="24"/>
          <w:szCs w:val="24"/>
        </w:rPr>
        <w:t xml:space="preserve">Adviser and </w:t>
      </w:r>
      <w:r w:rsidR="00B10A40" w:rsidRPr="00211983">
        <w:rPr>
          <w:rFonts w:cstheme="minorHAnsi"/>
          <w:bCs/>
          <w:sz w:val="24"/>
          <w:szCs w:val="24"/>
        </w:rPr>
        <w:t>3</w:t>
      </w:r>
      <w:r w:rsidR="00A77977" w:rsidRPr="00211983">
        <w:rPr>
          <w:rFonts w:cstheme="minorHAnsi"/>
          <w:bCs/>
          <w:sz w:val="24"/>
          <w:szCs w:val="24"/>
        </w:rPr>
        <w:t xml:space="preserve"> FTE Assistant Disability Advisers</w:t>
      </w:r>
      <w:r w:rsidR="004975B6" w:rsidRPr="00211983">
        <w:rPr>
          <w:rFonts w:cstheme="minorHAnsi"/>
          <w:bCs/>
          <w:sz w:val="24"/>
          <w:szCs w:val="24"/>
        </w:rPr>
        <w:t>.</w:t>
      </w:r>
    </w:p>
    <w:p w14:paraId="1350DA41" w14:textId="3035801C" w:rsidR="00AC638B" w:rsidRPr="00211983" w:rsidRDefault="00271444" w:rsidP="00211983">
      <w:pPr>
        <w:pStyle w:val="ListParagraph"/>
        <w:numPr>
          <w:ilvl w:val="0"/>
          <w:numId w:val="20"/>
        </w:numPr>
        <w:rPr>
          <w:rFonts w:cstheme="minorHAnsi"/>
          <w:bCs/>
          <w:sz w:val="24"/>
          <w:szCs w:val="24"/>
        </w:rPr>
      </w:pPr>
      <w:r w:rsidRPr="00211983">
        <w:rPr>
          <w:rFonts w:cstheme="minorHAnsi"/>
          <w:bCs/>
          <w:sz w:val="24"/>
          <w:szCs w:val="24"/>
        </w:rPr>
        <w:t xml:space="preserve">Revised </w:t>
      </w:r>
      <w:r w:rsidR="00193A8B" w:rsidRPr="00211983">
        <w:rPr>
          <w:rFonts w:cstheme="minorHAnsi"/>
          <w:bCs/>
          <w:sz w:val="24"/>
          <w:szCs w:val="24"/>
        </w:rPr>
        <w:t xml:space="preserve">online feedback mechanism for student to </w:t>
      </w:r>
      <w:r w:rsidR="00B03E50" w:rsidRPr="00211983">
        <w:rPr>
          <w:rFonts w:cstheme="minorHAnsi"/>
          <w:bCs/>
          <w:sz w:val="24"/>
          <w:szCs w:val="24"/>
        </w:rPr>
        <w:t xml:space="preserve">communicate with the service; this is aligned with </w:t>
      </w:r>
      <w:r w:rsidR="00ED5055" w:rsidRPr="00211983">
        <w:rPr>
          <w:rFonts w:cstheme="minorHAnsi"/>
          <w:bCs/>
          <w:sz w:val="24"/>
          <w:szCs w:val="24"/>
        </w:rPr>
        <w:t>su</w:t>
      </w:r>
      <w:r w:rsidR="006D0589" w:rsidRPr="00211983">
        <w:rPr>
          <w:rFonts w:cstheme="minorHAnsi"/>
          <w:bCs/>
          <w:sz w:val="24"/>
          <w:szCs w:val="24"/>
        </w:rPr>
        <w:t xml:space="preserve">pport Disabled </w:t>
      </w:r>
      <w:r w:rsidR="006C7CF5" w:rsidRPr="00211983">
        <w:rPr>
          <w:rFonts w:cstheme="minorHAnsi"/>
          <w:bCs/>
          <w:sz w:val="24"/>
          <w:szCs w:val="24"/>
        </w:rPr>
        <w:t>students’</w:t>
      </w:r>
      <w:r w:rsidR="006D0589" w:rsidRPr="00211983">
        <w:rPr>
          <w:rFonts w:cstheme="minorHAnsi"/>
          <w:bCs/>
          <w:sz w:val="24"/>
          <w:szCs w:val="24"/>
        </w:rPr>
        <w:t xml:space="preserve"> representation on the Disability Equality Group, and making sure new students are aware of this resource for seeking </w:t>
      </w:r>
      <w:r w:rsidR="00C27D0E" w:rsidRPr="00211983">
        <w:rPr>
          <w:rFonts w:cstheme="minorHAnsi"/>
          <w:bCs/>
          <w:sz w:val="24"/>
          <w:szCs w:val="24"/>
        </w:rPr>
        <w:t>assistance/reporting concerns.</w:t>
      </w:r>
    </w:p>
    <w:p w14:paraId="096C51C4" w14:textId="152CEAC9" w:rsidR="006C7CF5" w:rsidRPr="00211983" w:rsidRDefault="00E57546" w:rsidP="00211983">
      <w:pPr>
        <w:pStyle w:val="ListParagraph"/>
        <w:numPr>
          <w:ilvl w:val="0"/>
          <w:numId w:val="20"/>
        </w:numPr>
        <w:rPr>
          <w:rFonts w:cstheme="minorHAnsi"/>
          <w:bCs/>
          <w:sz w:val="24"/>
          <w:szCs w:val="24"/>
        </w:rPr>
      </w:pPr>
      <w:r w:rsidRPr="00211983">
        <w:rPr>
          <w:rFonts w:cstheme="minorHAnsi"/>
          <w:bCs/>
          <w:sz w:val="24"/>
          <w:szCs w:val="24"/>
        </w:rPr>
        <w:t>Established a</w:t>
      </w:r>
      <w:r w:rsidR="009C1B17" w:rsidRPr="00211983">
        <w:rPr>
          <w:rFonts w:cstheme="minorHAnsi"/>
          <w:bCs/>
          <w:sz w:val="24"/>
          <w:szCs w:val="24"/>
        </w:rPr>
        <w:t>n</w:t>
      </w:r>
      <w:r w:rsidRPr="00211983">
        <w:rPr>
          <w:rFonts w:cstheme="minorHAnsi"/>
          <w:bCs/>
          <w:sz w:val="24"/>
          <w:szCs w:val="24"/>
        </w:rPr>
        <w:t xml:space="preserve"> Accessible and Inclusive Learning Policy (AILP) review group to consider </w:t>
      </w:r>
      <w:r w:rsidR="009C1B17" w:rsidRPr="00211983">
        <w:rPr>
          <w:rFonts w:cstheme="minorHAnsi"/>
          <w:bCs/>
          <w:sz w:val="24"/>
          <w:szCs w:val="24"/>
        </w:rPr>
        <w:t>upgrades</w:t>
      </w:r>
      <w:r w:rsidRPr="00211983">
        <w:rPr>
          <w:rFonts w:cstheme="minorHAnsi"/>
          <w:bCs/>
          <w:sz w:val="24"/>
          <w:szCs w:val="24"/>
        </w:rPr>
        <w:t xml:space="preserve"> and amendments to the policy and supporting guidance. This was chaired by a Dean of L&amp;T and had representation across all four colleges. </w:t>
      </w:r>
      <w:r w:rsidR="009C1B17" w:rsidRPr="00211983">
        <w:rPr>
          <w:rFonts w:cstheme="minorHAnsi"/>
          <w:bCs/>
          <w:sz w:val="24"/>
          <w:szCs w:val="24"/>
        </w:rPr>
        <w:t>These changes were agreed by Senate in February 2023.</w:t>
      </w:r>
    </w:p>
    <w:p w14:paraId="0A5A8B0F" w14:textId="75E01075" w:rsidR="004975B6" w:rsidRPr="00211983" w:rsidRDefault="007F60B4" w:rsidP="00211983">
      <w:pPr>
        <w:pStyle w:val="ListParagraph"/>
        <w:numPr>
          <w:ilvl w:val="0"/>
          <w:numId w:val="20"/>
        </w:numPr>
        <w:rPr>
          <w:rFonts w:cstheme="minorHAnsi"/>
          <w:bCs/>
          <w:sz w:val="24"/>
          <w:szCs w:val="24"/>
        </w:rPr>
      </w:pPr>
      <w:r w:rsidRPr="00211983">
        <w:rPr>
          <w:rFonts w:cstheme="minorHAnsi"/>
          <w:bCs/>
          <w:sz w:val="24"/>
          <w:szCs w:val="24"/>
        </w:rPr>
        <w:t xml:space="preserve">The University has supported additional resourcing in Student Learning </w:t>
      </w:r>
      <w:r w:rsidR="00CE1FA7" w:rsidRPr="00211983">
        <w:rPr>
          <w:rFonts w:cstheme="minorHAnsi"/>
          <w:bCs/>
          <w:sz w:val="24"/>
          <w:szCs w:val="24"/>
        </w:rPr>
        <w:t xml:space="preserve">Development </w:t>
      </w:r>
      <w:r w:rsidR="00FB7332" w:rsidRPr="00211983">
        <w:rPr>
          <w:rFonts w:cstheme="minorHAnsi"/>
          <w:bCs/>
          <w:sz w:val="24"/>
          <w:szCs w:val="24"/>
        </w:rPr>
        <w:t>to increase the capacity for internal study skills and mentoring support for Disabled students</w:t>
      </w:r>
      <w:r w:rsidR="008E4725" w:rsidRPr="00211983">
        <w:rPr>
          <w:rFonts w:cstheme="minorHAnsi"/>
          <w:bCs/>
          <w:sz w:val="24"/>
          <w:szCs w:val="24"/>
        </w:rPr>
        <w:t xml:space="preserve">. Part of this is provided by external providers, but with a view to grow internal resources. </w:t>
      </w:r>
    </w:p>
    <w:p w14:paraId="6B62EA34" w14:textId="72CC351A" w:rsidR="00C92BA4" w:rsidRPr="00C33D32" w:rsidRDefault="00EE1BC6" w:rsidP="006C075C">
      <w:pPr>
        <w:pStyle w:val="Heading2"/>
      </w:pPr>
      <w:r w:rsidRPr="00C33D32">
        <w:t xml:space="preserve">6.3 </w:t>
      </w:r>
      <w:r w:rsidR="00C92BA4" w:rsidRPr="00C33D32">
        <w:t>Foster good relations between persons who share a relevant protected characteristic and persons who do not share it</w:t>
      </w:r>
      <w:r w:rsidR="00AB1A1D" w:rsidRPr="00C33D32">
        <w:t>.</w:t>
      </w:r>
    </w:p>
    <w:p w14:paraId="1F1E1CFC" w14:textId="7C6C138E" w:rsidR="00A637A6" w:rsidRPr="00281DD1" w:rsidRDefault="004C50A7" w:rsidP="00C92BA4">
      <w:pPr>
        <w:rPr>
          <w:rFonts w:cstheme="minorHAnsi"/>
          <w:sz w:val="24"/>
          <w:szCs w:val="24"/>
        </w:rPr>
      </w:pPr>
      <w:r w:rsidRPr="009F2765">
        <w:rPr>
          <w:rFonts w:cstheme="minorHAnsi"/>
          <w:b/>
          <w:bCs/>
          <w:sz w:val="24"/>
          <w:szCs w:val="24"/>
        </w:rPr>
        <w:t>6.3.1</w:t>
      </w:r>
      <w:r w:rsidRPr="00281DD1">
        <w:rPr>
          <w:rFonts w:cstheme="minorHAnsi"/>
          <w:sz w:val="24"/>
          <w:szCs w:val="24"/>
        </w:rPr>
        <w:t xml:space="preserve"> </w:t>
      </w:r>
      <w:r w:rsidR="003D326C" w:rsidRPr="00281DD1">
        <w:rPr>
          <w:rFonts w:cstheme="minorHAnsi"/>
          <w:sz w:val="24"/>
          <w:szCs w:val="24"/>
        </w:rPr>
        <w:t xml:space="preserve">The University launched a </w:t>
      </w:r>
      <w:r w:rsidR="0005244C" w:rsidRPr="00281DD1">
        <w:rPr>
          <w:rFonts w:cstheme="minorHAnsi"/>
          <w:sz w:val="24"/>
          <w:szCs w:val="24"/>
        </w:rPr>
        <w:t>Health and Wellbeing Portal</w:t>
      </w:r>
      <w:r w:rsidR="003D326C" w:rsidRPr="00281DD1">
        <w:rPr>
          <w:rFonts w:cstheme="minorHAnsi"/>
          <w:sz w:val="24"/>
          <w:szCs w:val="24"/>
        </w:rPr>
        <w:t xml:space="preserve"> for colleagues in 2022. T</w:t>
      </w:r>
      <w:r w:rsidR="0054404C" w:rsidRPr="00281DD1">
        <w:rPr>
          <w:rFonts w:cstheme="minorHAnsi"/>
          <w:sz w:val="24"/>
          <w:szCs w:val="24"/>
        </w:rPr>
        <w:t xml:space="preserve">he Colleague </w:t>
      </w:r>
      <w:r w:rsidR="006D6177" w:rsidRPr="00281DD1">
        <w:rPr>
          <w:rFonts w:cstheme="minorHAnsi"/>
          <w:sz w:val="24"/>
          <w:szCs w:val="24"/>
        </w:rPr>
        <w:t>Engagement</w:t>
      </w:r>
      <w:r w:rsidR="0054404C" w:rsidRPr="00281DD1">
        <w:rPr>
          <w:rFonts w:cstheme="minorHAnsi"/>
          <w:sz w:val="24"/>
          <w:szCs w:val="24"/>
        </w:rPr>
        <w:t xml:space="preserve"> survey</w:t>
      </w:r>
      <w:r w:rsidR="004A4E9F">
        <w:rPr>
          <w:rFonts w:cstheme="minorHAnsi"/>
          <w:sz w:val="24"/>
          <w:szCs w:val="24"/>
        </w:rPr>
        <w:t xml:space="preserve"> had highlighted this as a growing concern</w:t>
      </w:r>
      <w:r w:rsidR="000A1193">
        <w:rPr>
          <w:rFonts w:cstheme="minorHAnsi"/>
          <w:sz w:val="24"/>
          <w:szCs w:val="24"/>
        </w:rPr>
        <w:t xml:space="preserve"> as</w:t>
      </w:r>
      <w:r w:rsidR="0054404C" w:rsidRPr="00281DD1">
        <w:rPr>
          <w:rFonts w:cstheme="minorHAnsi"/>
          <w:sz w:val="24"/>
          <w:szCs w:val="24"/>
        </w:rPr>
        <w:t xml:space="preserve"> it was indicated that colleagues </w:t>
      </w:r>
      <w:r w:rsidR="00C12223" w:rsidRPr="00281DD1">
        <w:rPr>
          <w:rFonts w:cstheme="minorHAnsi"/>
          <w:sz w:val="24"/>
          <w:szCs w:val="24"/>
        </w:rPr>
        <w:t xml:space="preserve">found wellbeing and balance </w:t>
      </w:r>
      <w:r w:rsidR="006D6177" w:rsidRPr="00281DD1">
        <w:rPr>
          <w:rFonts w:cstheme="minorHAnsi"/>
          <w:sz w:val="24"/>
          <w:szCs w:val="24"/>
        </w:rPr>
        <w:t xml:space="preserve">a challenge. The model was designed and developed </w:t>
      </w:r>
      <w:r w:rsidR="00624108" w:rsidRPr="00281DD1">
        <w:rPr>
          <w:rFonts w:cstheme="minorHAnsi"/>
          <w:sz w:val="24"/>
          <w:szCs w:val="24"/>
        </w:rPr>
        <w:t>internally with extensive consultation with trade unions and College Management Groups and wider groups including the Mental Health</w:t>
      </w:r>
      <w:r w:rsidR="006B7037" w:rsidRPr="00281DD1">
        <w:rPr>
          <w:rFonts w:cstheme="minorHAnsi"/>
          <w:sz w:val="24"/>
          <w:szCs w:val="24"/>
        </w:rPr>
        <w:t xml:space="preserve"> and Disability Equality Groups. </w:t>
      </w:r>
      <w:r w:rsidR="00167919" w:rsidRPr="00281DD1">
        <w:rPr>
          <w:rFonts w:cstheme="minorHAnsi"/>
          <w:sz w:val="24"/>
          <w:szCs w:val="24"/>
        </w:rPr>
        <w:t xml:space="preserve">The </w:t>
      </w:r>
      <w:r w:rsidR="00BB3E4F" w:rsidRPr="00281DD1">
        <w:rPr>
          <w:rFonts w:cstheme="minorHAnsi"/>
          <w:sz w:val="24"/>
          <w:szCs w:val="24"/>
        </w:rPr>
        <w:t xml:space="preserve">Health and </w:t>
      </w:r>
      <w:r w:rsidRPr="00281DD1">
        <w:rPr>
          <w:rFonts w:cstheme="minorHAnsi"/>
          <w:sz w:val="24"/>
          <w:szCs w:val="24"/>
        </w:rPr>
        <w:t>Wellbeing wheel</w:t>
      </w:r>
      <w:r w:rsidR="00CC6437" w:rsidRPr="00281DD1">
        <w:rPr>
          <w:rFonts w:cstheme="minorHAnsi"/>
          <w:sz w:val="24"/>
          <w:szCs w:val="24"/>
        </w:rPr>
        <w:t xml:space="preserve"> has </w:t>
      </w:r>
      <w:r w:rsidR="00967D45" w:rsidRPr="00281DD1">
        <w:rPr>
          <w:rFonts w:cstheme="minorHAnsi"/>
          <w:sz w:val="24"/>
          <w:szCs w:val="24"/>
        </w:rPr>
        <w:t xml:space="preserve">five elements – social, physical, </w:t>
      </w:r>
      <w:r w:rsidR="00281DD1" w:rsidRPr="00281DD1">
        <w:rPr>
          <w:rFonts w:cstheme="minorHAnsi"/>
          <w:sz w:val="24"/>
          <w:szCs w:val="24"/>
        </w:rPr>
        <w:t>mental,</w:t>
      </w:r>
      <w:r w:rsidR="00967D45" w:rsidRPr="00281DD1">
        <w:rPr>
          <w:rFonts w:cstheme="minorHAnsi"/>
          <w:sz w:val="24"/>
          <w:szCs w:val="24"/>
        </w:rPr>
        <w:t xml:space="preserve"> </w:t>
      </w:r>
      <w:r w:rsidR="002B449B" w:rsidRPr="00281DD1">
        <w:rPr>
          <w:rFonts w:cstheme="minorHAnsi"/>
          <w:sz w:val="24"/>
          <w:szCs w:val="24"/>
        </w:rPr>
        <w:t>financial,</w:t>
      </w:r>
      <w:r w:rsidR="00967D45" w:rsidRPr="00281DD1">
        <w:rPr>
          <w:rFonts w:cstheme="minorHAnsi"/>
          <w:sz w:val="24"/>
          <w:szCs w:val="24"/>
        </w:rPr>
        <w:t xml:space="preserve"> and spiritual wellbeing</w:t>
      </w:r>
      <w:r w:rsidR="00550F4C" w:rsidRPr="00281DD1">
        <w:rPr>
          <w:rFonts w:cstheme="minorHAnsi"/>
          <w:sz w:val="24"/>
          <w:szCs w:val="24"/>
        </w:rPr>
        <w:t xml:space="preserve">, which are based on the premises that </w:t>
      </w:r>
      <w:r w:rsidR="009B2711" w:rsidRPr="00281DD1">
        <w:rPr>
          <w:rFonts w:cstheme="minorHAnsi"/>
          <w:sz w:val="24"/>
          <w:szCs w:val="24"/>
        </w:rPr>
        <w:t>wellbeing</w:t>
      </w:r>
      <w:r w:rsidR="00550F4C" w:rsidRPr="00281DD1">
        <w:rPr>
          <w:rFonts w:cstheme="minorHAnsi"/>
          <w:sz w:val="24"/>
          <w:szCs w:val="24"/>
        </w:rPr>
        <w:t xml:space="preserve"> can be built on</w:t>
      </w:r>
      <w:r w:rsidR="009B2711" w:rsidRPr="00281DD1">
        <w:rPr>
          <w:rFonts w:cstheme="minorHAnsi"/>
          <w:sz w:val="24"/>
          <w:szCs w:val="24"/>
        </w:rPr>
        <w:t xml:space="preserve"> five types of interactions – be active, connect, give</w:t>
      </w:r>
      <w:r w:rsidR="00CB6DBB">
        <w:rPr>
          <w:rFonts w:cstheme="minorHAnsi"/>
          <w:sz w:val="24"/>
          <w:szCs w:val="24"/>
        </w:rPr>
        <w:t>,</w:t>
      </w:r>
      <w:r w:rsidR="009B2711" w:rsidRPr="00281DD1">
        <w:rPr>
          <w:rFonts w:cstheme="minorHAnsi"/>
          <w:sz w:val="24"/>
          <w:szCs w:val="24"/>
        </w:rPr>
        <w:t xml:space="preserve"> learn and take notice. </w:t>
      </w:r>
      <w:r w:rsidR="00675559" w:rsidRPr="00281DD1">
        <w:rPr>
          <w:rFonts w:cstheme="minorHAnsi"/>
          <w:sz w:val="24"/>
          <w:szCs w:val="24"/>
        </w:rPr>
        <w:t xml:space="preserve">The portal </w:t>
      </w:r>
      <w:r w:rsidR="0054492B" w:rsidRPr="00281DD1">
        <w:rPr>
          <w:rFonts w:cstheme="minorHAnsi"/>
          <w:sz w:val="24"/>
          <w:szCs w:val="24"/>
        </w:rPr>
        <w:t>provides advice and guidance under each of the elem</w:t>
      </w:r>
      <w:r w:rsidR="00BD23B0" w:rsidRPr="00281DD1">
        <w:rPr>
          <w:rFonts w:cstheme="minorHAnsi"/>
          <w:sz w:val="24"/>
          <w:szCs w:val="24"/>
        </w:rPr>
        <w:t xml:space="preserve">ent, including benefits colleagues can access in relation to these areas. </w:t>
      </w:r>
      <w:r w:rsidR="00D06EFA" w:rsidRPr="00281DD1">
        <w:rPr>
          <w:rFonts w:cstheme="minorHAnsi"/>
          <w:sz w:val="24"/>
          <w:szCs w:val="24"/>
        </w:rPr>
        <w:t xml:space="preserve">There is also a </w:t>
      </w:r>
      <w:r w:rsidR="002B449B" w:rsidRPr="00281DD1">
        <w:rPr>
          <w:rFonts w:cstheme="minorHAnsi"/>
          <w:sz w:val="24"/>
          <w:szCs w:val="24"/>
        </w:rPr>
        <w:t>manager’s</w:t>
      </w:r>
      <w:r w:rsidR="00D06EFA" w:rsidRPr="00281DD1">
        <w:rPr>
          <w:rFonts w:cstheme="minorHAnsi"/>
          <w:sz w:val="24"/>
          <w:szCs w:val="24"/>
        </w:rPr>
        <w:t xml:space="preserve"> zone, which supports them to </w:t>
      </w:r>
      <w:r w:rsidR="006213BB" w:rsidRPr="00281DD1">
        <w:rPr>
          <w:rFonts w:cstheme="minorHAnsi"/>
          <w:sz w:val="24"/>
          <w:szCs w:val="24"/>
        </w:rPr>
        <w:t xml:space="preserve">understand their role </w:t>
      </w:r>
      <w:r w:rsidR="00A9494B" w:rsidRPr="00281DD1">
        <w:rPr>
          <w:rFonts w:cstheme="minorHAnsi"/>
          <w:sz w:val="24"/>
          <w:szCs w:val="24"/>
        </w:rPr>
        <w:t xml:space="preserve">in creating a mentally healthy workplace, understanding stress in the workplace policies, </w:t>
      </w:r>
      <w:r w:rsidRPr="00281DD1">
        <w:rPr>
          <w:rFonts w:cstheme="minorHAnsi"/>
          <w:sz w:val="24"/>
          <w:szCs w:val="24"/>
        </w:rPr>
        <w:t>and tools to support them across a range of health matters for their team.</w:t>
      </w:r>
    </w:p>
    <w:p w14:paraId="157686E7" w14:textId="53CB0522" w:rsidR="00A32F80" w:rsidRPr="00A32F80" w:rsidRDefault="0071035C" w:rsidP="00F82569">
      <w:pPr>
        <w:rPr>
          <w:rFonts w:cstheme="minorHAnsi"/>
          <w:sz w:val="24"/>
          <w:szCs w:val="24"/>
        </w:rPr>
      </w:pPr>
      <w:r w:rsidRPr="009F2765">
        <w:rPr>
          <w:rFonts w:cstheme="minorHAnsi"/>
          <w:b/>
          <w:bCs/>
          <w:sz w:val="24"/>
          <w:szCs w:val="24"/>
        </w:rPr>
        <w:lastRenderedPageBreak/>
        <w:t>6.3.2</w:t>
      </w:r>
      <w:r w:rsidRPr="0071035C">
        <w:rPr>
          <w:rFonts w:cstheme="minorHAnsi"/>
          <w:sz w:val="24"/>
          <w:szCs w:val="24"/>
        </w:rPr>
        <w:t xml:space="preserve"> </w:t>
      </w:r>
      <w:r w:rsidR="00C92E76">
        <w:rPr>
          <w:rFonts w:cstheme="minorHAnsi"/>
          <w:sz w:val="24"/>
          <w:szCs w:val="24"/>
        </w:rPr>
        <w:t>In the last two years, t</w:t>
      </w:r>
      <w:r w:rsidR="00A32F80" w:rsidRPr="00A32F80">
        <w:rPr>
          <w:rFonts w:cstheme="minorHAnsi"/>
          <w:sz w:val="24"/>
          <w:szCs w:val="24"/>
        </w:rPr>
        <w:t>he University Chaplains and Honorary members of the Chaplaincy team have intentionally supported students in the Jewish Society, one of the smallest student societies, and the Muslim Students Association</w:t>
      </w:r>
      <w:r w:rsidR="00BF2AD9">
        <w:rPr>
          <w:rFonts w:cstheme="minorHAnsi"/>
          <w:sz w:val="24"/>
          <w:szCs w:val="24"/>
        </w:rPr>
        <w:t xml:space="preserve">, </w:t>
      </w:r>
      <w:r w:rsidR="00A32F80" w:rsidRPr="00A32F80">
        <w:rPr>
          <w:rFonts w:cstheme="minorHAnsi"/>
          <w:sz w:val="24"/>
          <w:szCs w:val="24"/>
        </w:rPr>
        <w:t>one of the largest. Members and individuals in both communities have experienced inequality in different ways, and each have experienced victimisation or antagonism due to their faith/religious identity. The Chaplaincy recogn</w:t>
      </w:r>
      <w:r w:rsidR="00FE1B0D" w:rsidRPr="00740715">
        <w:rPr>
          <w:rFonts w:cstheme="minorHAnsi"/>
          <w:sz w:val="24"/>
          <w:szCs w:val="24"/>
        </w:rPr>
        <w:t>ises</w:t>
      </w:r>
      <w:r w:rsidR="00A32F80" w:rsidRPr="00A32F80">
        <w:rPr>
          <w:rFonts w:cstheme="minorHAnsi"/>
          <w:sz w:val="24"/>
          <w:szCs w:val="24"/>
        </w:rPr>
        <w:t xml:space="preserve"> that their expression and freedom of religious practice, meaning and identity, has </w:t>
      </w:r>
      <w:r w:rsidR="006D621E" w:rsidRPr="00740715">
        <w:rPr>
          <w:rFonts w:cstheme="minorHAnsi"/>
          <w:sz w:val="24"/>
          <w:szCs w:val="24"/>
        </w:rPr>
        <w:t>value</w:t>
      </w:r>
      <w:r w:rsidR="00A32F80" w:rsidRPr="00A32F80">
        <w:rPr>
          <w:rFonts w:cstheme="minorHAnsi"/>
          <w:sz w:val="24"/>
          <w:szCs w:val="24"/>
        </w:rPr>
        <w:t xml:space="preserve"> and challenges, which can be overlooked in general discours</w:t>
      </w:r>
      <w:r w:rsidR="007B7ADA" w:rsidRPr="00740715">
        <w:rPr>
          <w:rFonts w:cstheme="minorHAnsi"/>
          <w:sz w:val="24"/>
          <w:szCs w:val="24"/>
        </w:rPr>
        <w:t>e on discrimination</w:t>
      </w:r>
      <w:r w:rsidR="00A32F80" w:rsidRPr="00A32F80">
        <w:rPr>
          <w:rFonts w:cstheme="minorHAnsi"/>
          <w:sz w:val="24"/>
          <w:szCs w:val="24"/>
        </w:rPr>
        <w:t>. These can also be misunderstood in relation to the University as a ‘secular’ institution. In particular, the Chaplaincy has:</w:t>
      </w:r>
    </w:p>
    <w:p w14:paraId="7F220BE7" w14:textId="366065FF" w:rsidR="00A32F80" w:rsidRPr="00740715" w:rsidRDefault="00E37711" w:rsidP="006D621E">
      <w:pPr>
        <w:pStyle w:val="ListParagraph"/>
        <w:numPr>
          <w:ilvl w:val="0"/>
          <w:numId w:val="21"/>
        </w:numPr>
        <w:rPr>
          <w:rFonts w:cstheme="minorHAnsi"/>
          <w:sz w:val="24"/>
          <w:szCs w:val="24"/>
        </w:rPr>
      </w:pPr>
      <w:r w:rsidRPr="00740715">
        <w:rPr>
          <w:rFonts w:cstheme="minorHAnsi"/>
          <w:sz w:val="24"/>
          <w:szCs w:val="24"/>
        </w:rPr>
        <w:t>A</w:t>
      </w:r>
      <w:r w:rsidR="00A32F80" w:rsidRPr="00740715">
        <w:rPr>
          <w:rFonts w:cstheme="minorHAnsi"/>
          <w:sz w:val="24"/>
          <w:szCs w:val="24"/>
        </w:rPr>
        <w:t xml:space="preserve">dvocated for provision and improvement of prayer spaces throughout campus </w:t>
      </w:r>
      <w:r w:rsidR="00575FF9" w:rsidRPr="00740715">
        <w:rPr>
          <w:rFonts w:cstheme="minorHAnsi"/>
          <w:sz w:val="24"/>
          <w:szCs w:val="24"/>
        </w:rPr>
        <w:t>and the</w:t>
      </w:r>
      <w:r w:rsidR="00A32F80" w:rsidRPr="00740715">
        <w:rPr>
          <w:rFonts w:cstheme="minorHAnsi"/>
          <w:sz w:val="24"/>
          <w:szCs w:val="24"/>
        </w:rPr>
        <w:t xml:space="preserve"> continued provision of Jumu’ah (Muslim) Friday Prayer facilities </w:t>
      </w:r>
      <w:r w:rsidR="006D621E" w:rsidRPr="00740715">
        <w:rPr>
          <w:rFonts w:cstheme="minorHAnsi"/>
          <w:sz w:val="24"/>
          <w:szCs w:val="24"/>
        </w:rPr>
        <w:t>near</w:t>
      </w:r>
      <w:r w:rsidR="00A32F80" w:rsidRPr="00740715">
        <w:rPr>
          <w:rFonts w:cstheme="minorHAnsi"/>
          <w:sz w:val="24"/>
          <w:szCs w:val="24"/>
        </w:rPr>
        <w:t xml:space="preserve"> the main campus (attended by more than 100 students each week)</w:t>
      </w:r>
      <w:r w:rsidR="006D621E" w:rsidRPr="00740715">
        <w:rPr>
          <w:rFonts w:cstheme="minorHAnsi"/>
          <w:sz w:val="24"/>
          <w:szCs w:val="24"/>
        </w:rPr>
        <w:t>.</w:t>
      </w:r>
    </w:p>
    <w:p w14:paraId="582FA1C4" w14:textId="3B20DB24" w:rsidR="00A32F80" w:rsidRPr="00740715" w:rsidRDefault="004C13A2" w:rsidP="006D621E">
      <w:pPr>
        <w:pStyle w:val="ListParagraph"/>
        <w:numPr>
          <w:ilvl w:val="0"/>
          <w:numId w:val="21"/>
        </w:numPr>
        <w:rPr>
          <w:rFonts w:cstheme="minorHAnsi"/>
          <w:sz w:val="24"/>
          <w:szCs w:val="24"/>
        </w:rPr>
      </w:pPr>
      <w:r w:rsidRPr="00740715">
        <w:rPr>
          <w:rFonts w:cstheme="minorHAnsi"/>
          <w:sz w:val="24"/>
          <w:szCs w:val="24"/>
        </w:rPr>
        <w:t>P</w:t>
      </w:r>
      <w:r w:rsidR="00A32F80" w:rsidRPr="00740715">
        <w:rPr>
          <w:rFonts w:cstheme="minorHAnsi"/>
          <w:sz w:val="24"/>
          <w:szCs w:val="24"/>
        </w:rPr>
        <w:t>ublicise/communicate the inclusion of Prayer space locations on the UofG Life App</w:t>
      </w:r>
      <w:r w:rsidR="006D621E" w:rsidRPr="00740715">
        <w:rPr>
          <w:rFonts w:cstheme="minorHAnsi"/>
          <w:sz w:val="24"/>
          <w:szCs w:val="24"/>
        </w:rPr>
        <w:t>.</w:t>
      </w:r>
    </w:p>
    <w:p w14:paraId="365DB7FE" w14:textId="4771C0D2" w:rsidR="00A32F80" w:rsidRPr="00740715" w:rsidRDefault="002D16E7" w:rsidP="006D621E">
      <w:pPr>
        <w:pStyle w:val="ListParagraph"/>
        <w:numPr>
          <w:ilvl w:val="0"/>
          <w:numId w:val="21"/>
        </w:numPr>
        <w:rPr>
          <w:rFonts w:cstheme="minorHAnsi"/>
          <w:sz w:val="24"/>
          <w:szCs w:val="24"/>
        </w:rPr>
      </w:pPr>
      <w:r w:rsidRPr="00740715">
        <w:rPr>
          <w:rFonts w:cstheme="minorHAnsi"/>
          <w:sz w:val="24"/>
          <w:szCs w:val="24"/>
        </w:rPr>
        <w:t>S</w:t>
      </w:r>
      <w:r w:rsidR="00A32F80" w:rsidRPr="00740715">
        <w:rPr>
          <w:rFonts w:cstheme="minorHAnsi"/>
          <w:sz w:val="24"/>
          <w:szCs w:val="24"/>
        </w:rPr>
        <w:t>upported Jewish students in their organisation of special commemorative events on campus, helping smooth the way to engaging with complex facilities and security operations</w:t>
      </w:r>
      <w:r w:rsidR="006D621E" w:rsidRPr="00740715">
        <w:rPr>
          <w:rFonts w:cstheme="minorHAnsi"/>
          <w:sz w:val="24"/>
          <w:szCs w:val="24"/>
        </w:rPr>
        <w:t>.</w:t>
      </w:r>
    </w:p>
    <w:p w14:paraId="4468524E" w14:textId="74427F06" w:rsidR="00A32F80" w:rsidRPr="00740715" w:rsidRDefault="002D16E7" w:rsidP="006D621E">
      <w:pPr>
        <w:pStyle w:val="ListParagraph"/>
        <w:numPr>
          <w:ilvl w:val="0"/>
          <w:numId w:val="21"/>
        </w:numPr>
        <w:rPr>
          <w:rFonts w:cstheme="minorHAnsi"/>
          <w:sz w:val="24"/>
          <w:szCs w:val="24"/>
        </w:rPr>
      </w:pPr>
      <w:r w:rsidRPr="00740715">
        <w:rPr>
          <w:rFonts w:cstheme="minorHAnsi"/>
          <w:sz w:val="24"/>
          <w:szCs w:val="24"/>
        </w:rPr>
        <w:t>P</w:t>
      </w:r>
      <w:r w:rsidR="00A32F80" w:rsidRPr="00740715">
        <w:rPr>
          <w:rFonts w:cstheme="minorHAnsi"/>
          <w:sz w:val="24"/>
          <w:szCs w:val="24"/>
        </w:rPr>
        <w:t xml:space="preserve">rovision and organisation of a regular room for Jewish students’ </w:t>
      </w:r>
      <w:r w:rsidR="0009711B">
        <w:rPr>
          <w:rFonts w:cstheme="minorHAnsi"/>
          <w:sz w:val="24"/>
          <w:szCs w:val="24"/>
        </w:rPr>
        <w:t>social gathering</w:t>
      </w:r>
      <w:r w:rsidR="00A32F80" w:rsidRPr="00740715">
        <w:rPr>
          <w:rFonts w:cstheme="minorHAnsi"/>
          <w:sz w:val="24"/>
          <w:szCs w:val="24"/>
        </w:rPr>
        <w:t>.</w:t>
      </w:r>
    </w:p>
    <w:p w14:paraId="6DDA6A5A" w14:textId="651E26F9" w:rsidR="00847D79" w:rsidRPr="00847D79" w:rsidRDefault="0071035C" w:rsidP="00847D79">
      <w:pPr>
        <w:rPr>
          <w:rFonts w:cstheme="minorHAnsi"/>
          <w:sz w:val="24"/>
          <w:szCs w:val="24"/>
        </w:rPr>
      </w:pPr>
      <w:r w:rsidRPr="0009711B">
        <w:rPr>
          <w:rFonts w:cstheme="minorHAnsi"/>
          <w:b/>
          <w:bCs/>
          <w:sz w:val="24"/>
          <w:szCs w:val="24"/>
        </w:rPr>
        <w:t>6.3.3</w:t>
      </w:r>
      <w:r>
        <w:rPr>
          <w:rFonts w:cstheme="minorHAnsi"/>
          <w:sz w:val="24"/>
          <w:szCs w:val="24"/>
        </w:rPr>
        <w:t xml:space="preserve"> </w:t>
      </w:r>
      <w:r w:rsidR="00847D79" w:rsidRPr="00847D79">
        <w:rPr>
          <w:rFonts w:cstheme="minorHAnsi"/>
          <w:sz w:val="24"/>
          <w:szCs w:val="24"/>
        </w:rPr>
        <w:t xml:space="preserve">Since April 2021, as part of the University’s British Sign Language (BSL) Action Plan, the Equality and Diversity Unit has worked with the University’s </w:t>
      </w:r>
      <w:r w:rsidR="008E7F87" w:rsidRPr="00847D79">
        <w:rPr>
          <w:rFonts w:cstheme="minorHAnsi"/>
          <w:sz w:val="24"/>
          <w:szCs w:val="24"/>
        </w:rPr>
        <w:t>Lifelong</w:t>
      </w:r>
      <w:r w:rsidR="00847D79" w:rsidRPr="00847D79">
        <w:rPr>
          <w:rFonts w:cstheme="minorHAnsi"/>
          <w:sz w:val="24"/>
          <w:szCs w:val="24"/>
        </w:rPr>
        <w:t xml:space="preserve"> Learning/Short Courses team to provide over 60 fully funded places on discreet 10-week BSL courses for </w:t>
      </w:r>
      <w:r w:rsidR="00023463" w:rsidRPr="00847D79">
        <w:rPr>
          <w:rFonts w:cstheme="minorHAnsi"/>
          <w:sz w:val="24"/>
          <w:szCs w:val="24"/>
        </w:rPr>
        <w:t>university</w:t>
      </w:r>
      <w:r w:rsidR="00847D79" w:rsidRPr="00847D79">
        <w:rPr>
          <w:rFonts w:cstheme="minorHAnsi"/>
          <w:sz w:val="24"/>
          <w:szCs w:val="24"/>
        </w:rPr>
        <w:t xml:space="preserve"> colleagues and students.  So far, with over 30 learners starting at beginner level, approximately half of each cohort have progressed through each level.  </w:t>
      </w:r>
    </w:p>
    <w:p w14:paraId="776EA0E3" w14:textId="77777777" w:rsidR="00847D79" w:rsidRPr="00847D79" w:rsidRDefault="00847D79" w:rsidP="00847D79">
      <w:pPr>
        <w:rPr>
          <w:rFonts w:cstheme="minorHAnsi"/>
          <w:sz w:val="24"/>
          <w:szCs w:val="24"/>
        </w:rPr>
      </w:pPr>
      <w:r w:rsidRPr="00847D79">
        <w:rPr>
          <w:rFonts w:cstheme="minorHAnsi"/>
          <w:sz w:val="24"/>
          <w:szCs w:val="24"/>
        </w:rPr>
        <w:t>Some staff have sought out the courses to better communicate with their team members who are BSL users. Feedback from those learners and their colleagues has been overwhelming positive.</w:t>
      </w:r>
    </w:p>
    <w:p w14:paraId="468C945A" w14:textId="4A720534" w:rsidR="00847D79" w:rsidRPr="00847D79" w:rsidRDefault="00847D79" w:rsidP="00BC124D">
      <w:pPr>
        <w:ind w:left="720"/>
        <w:rPr>
          <w:rFonts w:cstheme="minorHAnsi"/>
          <w:sz w:val="24"/>
          <w:szCs w:val="24"/>
        </w:rPr>
      </w:pPr>
      <w:r w:rsidRPr="00847D79">
        <w:rPr>
          <w:rFonts w:cstheme="minorHAnsi"/>
          <w:sz w:val="24"/>
          <w:szCs w:val="24"/>
        </w:rPr>
        <w:t>It has been so positive an experience being able to say a simple “hello” and “how are you” to our profoundly deaf team members, and they express such joy that we are making the effort to communicate with them in this manner. This has reverberated throughout the team and is making others keen to be able to offer this across the wider campus and within their own social circles.</w:t>
      </w:r>
    </w:p>
    <w:p w14:paraId="2C3C0D2A" w14:textId="39C690BF" w:rsidR="00847D79" w:rsidRPr="00847D79" w:rsidRDefault="00847D79" w:rsidP="00847D79">
      <w:pPr>
        <w:rPr>
          <w:rFonts w:cstheme="minorHAnsi"/>
          <w:sz w:val="24"/>
          <w:szCs w:val="24"/>
        </w:rPr>
      </w:pPr>
      <w:r w:rsidRPr="00847D79">
        <w:rPr>
          <w:rFonts w:cstheme="minorHAnsi"/>
          <w:sz w:val="24"/>
          <w:szCs w:val="24"/>
        </w:rPr>
        <w:t>During 2022 and 2023 over 70 External Relations colleagues have also attended ‘Deaf Awareness and introduction to BSL’ sessions</w:t>
      </w:r>
      <w:r w:rsidR="003B3CC2">
        <w:rPr>
          <w:rFonts w:cstheme="minorHAnsi"/>
          <w:sz w:val="24"/>
          <w:szCs w:val="24"/>
        </w:rPr>
        <w:t>.</w:t>
      </w:r>
      <w:r w:rsidRPr="00847D79">
        <w:rPr>
          <w:rFonts w:cstheme="minorHAnsi"/>
          <w:sz w:val="24"/>
          <w:szCs w:val="24"/>
        </w:rPr>
        <w:t xml:space="preserve"> </w:t>
      </w:r>
    </w:p>
    <w:p w14:paraId="5B51CEE9" w14:textId="1DBD944E" w:rsidR="00C705EC" w:rsidRPr="00B44FC5" w:rsidRDefault="003C2B09" w:rsidP="006C075C">
      <w:pPr>
        <w:pStyle w:val="Heading1"/>
      </w:pPr>
      <w:r>
        <w:t>7</w:t>
      </w:r>
      <w:r w:rsidR="00EE1BC6" w:rsidRPr="00B44FC5">
        <w:t xml:space="preserve">. </w:t>
      </w:r>
      <w:r w:rsidR="00C705EC" w:rsidRPr="00B44FC5">
        <w:t>Procurement</w:t>
      </w:r>
    </w:p>
    <w:p w14:paraId="00D6E0DC" w14:textId="77777777" w:rsidR="00EE16ED" w:rsidRPr="00B44FC5" w:rsidRDefault="00EE16ED" w:rsidP="00EE16ED">
      <w:pPr>
        <w:rPr>
          <w:rFonts w:cstheme="minorHAnsi"/>
          <w:sz w:val="24"/>
          <w:szCs w:val="24"/>
        </w:rPr>
      </w:pPr>
      <w:r w:rsidRPr="00B44FC5">
        <w:rPr>
          <w:rFonts w:cstheme="minorHAnsi"/>
          <w:sz w:val="24"/>
          <w:szCs w:val="24"/>
        </w:rPr>
        <w:t xml:space="preserve">The Procurement Policy highlights the code of ethics required in all purchases for the University such as: </w:t>
      </w:r>
    </w:p>
    <w:p w14:paraId="4E7D0674"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Effectiveness &amp; Efficiency (value for money)</w:t>
      </w:r>
    </w:p>
    <w:p w14:paraId="2D6D6244"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Open, fair and transparent procedures</w:t>
      </w:r>
    </w:p>
    <w:p w14:paraId="585F8CA4"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Effective competition</w:t>
      </w:r>
    </w:p>
    <w:p w14:paraId="64A3436C"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Sustainable procurement principles</w:t>
      </w:r>
    </w:p>
    <w:p w14:paraId="665E69E3"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lastRenderedPageBreak/>
        <w:t>Bribery Act 2010</w:t>
      </w:r>
    </w:p>
    <w:p w14:paraId="4F1119A2"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Health &amp; Safety at Work Act 1974</w:t>
      </w:r>
    </w:p>
    <w:p w14:paraId="5E113278" w14:textId="6D723951"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Modern Slavery Act 2015</w:t>
      </w:r>
    </w:p>
    <w:p w14:paraId="520DC00D" w14:textId="4DCF3D40" w:rsidR="009A62A6" w:rsidRPr="00B44FC5" w:rsidRDefault="009A62A6" w:rsidP="00EE16ED">
      <w:pPr>
        <w:pStyle w:val="ListParagraph"/>
        <w:numPr>
          <w:ilvl w:val="0"/>
          <w:numId w:val="3"/>
        </w:numPr>
        <w:rPr>
          <w:rFonts w:cstheme="minorHAnsi"/>
          <w:sz w:val="24"/>
          <w:szCs w:val="24"/>
        </w:rPr>
      </w:pPr>
      <w:r w:rsidRPr="00B44FC5">
        <w:rPr>
          <w:rFonts w:cstheme="minorHAnsi"/>
          <w:sz w:val="24"/>
          <w:szCs w:val="24"/>
        </w:rPr>
        <w:t>Equality, Diversity and Inclusion</w:t>
      </w:r>
    </w:p>
    <w:p w14:paraId="6436988C" w14:textId="77777777" w:rsidR="00EE16ED" w:rsidRPr="00B44FC5" w:rsidRDefault="00EE16ED" w:rsidP="00EE16ED">
      <w:pPr>
        <w:rPr>
          <w:rFonts w:cstheme="minorHAnsi"/>
          <w:sz w:val="24"/>
          <w:szCs w:val="24"/>
        </w:rPr>
      </w:pPr>
      <w:r w:rsidRPr="00B44FC5">
        <w:rPr>
          <w:rFonts w:cstheme="minorHAnsi"/>
          <w:sz w:val="24"/>
          <w:szCs w:val="24"/>
        </w:rPr>
        <w:t>As part of this commitment and policy, all procurement is carried out on principles of open, fair and transparent procedures, which relates to the Equality Act 2010. Where tendering activity is carried out, an award criterion is based on ‘most economically advantageous tender’ and not on lowest price. The University holds the Living Wage accreditation, and therefore this is embedded within our procurement procedures.</w:t>
      </w:r>
    </w:p>
    <w:p w14:paraId="62972E55" w14:textId="65C8321C" w:rsidR="00EE16ED" w:rsidRPr="00B44FC5" w:rsidRDefault="00EE16ED" w:rsidP="00EE16ED">
      <w:pPr>
        <w:rPr>
          <w:rFonts w:cstheme="minorHAnsi"/>
          <w:sz w:val="24"/>
          <w:szCs w:val="24"/>
        </w:rPr>
      </w:pPr>
      <w:r w:rsidRPr="00B44FC5">
        <w:rPr>
          <w:rFonts w:cstheme="minorHAnsi"/>
          <w:sz w:val="24"/>
          <w:szCs w:val="24"/>
        </w:rPr>
        <w:t xml:space="preserve">The University has an </w:t>
      </w:r>
      <w:r w:rsidR="00F2403E" w:rsidRPr="00B44FC5">
        <w:rPr>
          <w:rFonts w:cstheme="minorHAnsi"/>
          <w:sz w:val="24"/>
          <w:szCs w:val="24"/>
        </w:rPr>
        <w:t>internal code</w:t>
      </w:r>
      <w:r w:rsidRPr="00B44FC5">
        <w:rPr>
          <w:rFonts w:cstheme="minorHAnsi"/>
          <w:sz w:val="24"/>
          <w:szCs w:val="24"/>
        </w:rPr>
        <w:t xml:space="preserve"> of conduct and external codes of conduct for all suppliers going through a tender process, this is known as the Sustainable Procurement Programme – </w:t>
      </w:r>
      <w:r w:rsidR="00445884" w:rsidRPr="00B44FC5">
        <w:rPr>
          <w:rFonts w:cstheme="minorHAnsi"/>
          <w:sz w:val="24"/>
          <w:szCs w:val="24"/>
        </w:rPr>
        <w:t xml:space="preserve">Supply Chain </w:t>
      </w:r>
      <w:r w:rsidRPr="00B44FC5">
        <w:rPr>
          <w:rFonts w:cstheme="minorHAnsi"/>
          <w:sz w:val="24"/>
          <w:szCs w:val="24"/>
        </w:rPr>
        <w:t>Code of Conduct. Embedded in this Code, under Social Compliance this requires the following:</w:t>
      </w:r>
    </w:p>
    <w:p w14:paraId="5CD968E4"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Treat employees fairly</w:t>
      </w:r>
    </w:p>
    <w:p w14:paraId="1B99CFE4"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Allow employees the freedom of association to join (but not be forced to join), or be represented by, a trade union or similar organisation of their choice, and be free to leave such organisations.</w:t>
      </w:r>
    </w:p>
    <w:p w14:paraId="76C9283B" w14:textId="4601320A"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Not discriminate or unfairly treat any employee for any reason including education, social class / caste, nationality, trade union membership or any of the 9 Protected Characteristics of the Equality Act 2010.</w:t>
      </w:r>
    </w:p>
    <w:p w14:paraId="1E194770"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 xml:space="preserve">Provide a workplace free from discrimination, harassment or victimisation. </w:t>
      </w:r>
    </w:p>
    <w:p w14:paraId="4AD64BA9"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Treat all employees with respect and dignity, and not accept inequality as justifiable on a basis of culture.</w:t>
      </w:r>
    </w:p>
    <w:p w14:paraId="1A21602C" w14:textId="77777777" w:rsidR="00EE16ED" w:rsidRPr="00B44FC5" w:rsidRDefault="00EE16ED" w:rsidP="00EE16ED">
      <w:pPr>
        <w:pStyle w:val="ListParagraph"/>
        <w:numPr>
          <w:ilvl w:val="0"/>
          <w:numId w:val="3"/>
        </w:numPr>
        <w:rPr>
          <w:rFonts w:cstheme="minorHAnsi"/>
          <w:sz w:val="24"/>
          <w:szCs w:val="24"/>
        </w:rPr>
      </w:pPr>
      <w:r w:rsidRPr="00B44FC5">
        <w:rPr>
          <w:rFonts w:cstheme="minorHAnsi"/>
          <w:sz w:val="24"/>
          <w:szCs w:val="24"/>
        </w:rPr>
        <w:t>Remunerate all employees equally at the same employment grade, regardless of any characteristics listed above, unless statutory conditions require otherwise.</w:t>
      </w:r>
    </w:p>
    <w:p w14:paraId="37A5A2F9" w14:textId="77777777" w:rsidR="006C075C" w:rsidRDefault="006C075C" w:rsidP="006C075C">
      <w:pPr>
        <w:rPr>
          <w:rFonts w:cstheme="minorHAnsi"/>
          <w:sz w:val="24"/>
          <w:szCs w:val="24"/>
        </w:rPr>
      </w:pPr>
    </w:p>
    <w:p w14:paraId="0777D090" w14:textId="71E9F695" w:rsidR="00E66BFC" w:rsidRDefault="00E66BFC" w:rsidP="006C075C">
      <w:pPr>
        <w:rPr>
          <w:rFonts w:cstheme="minorHAnsi"/>
          <w:sz w:val="24"/>
          <w:szCs w:val="24"/>
        </w:rPr>
      </w:pPr>
      <w:r w:rsidRPr="006C075C">
        <w:rPr>
          <w:rFonts w:cstheme="minorHAnsi"/>
          <w:b/>
          <w:bCs/>
          <w:sz w:val="24"/>
          <w:szCs w:val="24"/>
        </w:rPr>
        <w:t>Mhairi Taylor</w:t>
      </w:r>
      <w:r w:rsidR="006C075C">
        <w:rPr>
          <w:rFonts w:cstheme="minorHAnsi"/>
          <w:sz w:val="24"/>
          <w:szCs w:val="24"/>
        </w:rPr>
        <w:br/>
      </w:r>
      <w:r w:rsidRPr="00AA2572">
        <w:rPr>
          <w:rFonts w:cstheme="minorHAnsi"/>
          <w:sz w:val="24"/>
          <w:szCs w:val="24"/>
        </w:rPr>
        <w:t>Equality and Diversity Unit</w:t>
      </w:r>
      <w:r w:rsidR="006C075C">
        <w:rPr>
          <w:rFonts w:cstheme="minorHAnsi"/>
          <w:sz w:val="24"/>
          <w:szCs w:val="24"/>
        </w:rPr>
        <w:br/>
      </w:r>
      <w:r w:rsidRPr="00AA2572">
        <w:rPr>
          <w:rFonts w:cstheme="minorHAnsi"/>
          <w:sz w:val="24"/>
          <w:szCs w:val="24"/>
        </w:rPr>
        <w:t>March 202</w:t>
      </w:r>
      <w:r w:rsidR="00AA2572" w:rsidRPr="00AA2572">
        <w:rPr>
          <w:rFonts w:cstheme="minorHAnsi"/>
          <w:sz w:val="24"/>
          <w:szCs w:val="24"/>
        </w:rPr>
        <w:t>3</w:t>
      </w:r>
    </w:p>
    <w:p w14:paraId="74F40CCC" w14:textId="77777777" w:rsidR="00782087" w:rsidRDefault="00782087">
      <w:pPr>
        <w:rPr>
          <w:rFonts w:cstheme="minorHAnsi"/>
          <w:sz w:val="24"/>
          <w:szCs w:val="24"/>
        </w:rPr>
      </w:pPr>
    </w:p>
    <w:p w14:paraId="61E2151F" w14:textId="77777777" w:rsidR="001B0D1C" w:rsidRDefault="001B0D1C">
      <w:pPr>
        <w:rPr>
          <w:rFonts w:cstheme="minorHAnsi"/>
          <w:sz w:val="24"/>
          <w:szCs w:val="24"/>
        </w:rPr>
      </w:pPr>
    </w:p>
    <w:p w14:paraId="7AB35B4F" w14:textId="77777777" w:rsidR="001B0D1C" w:rsidRDefault="001B0D1C">
      <w:pPr>
        <w:rPr>
          <w:rFonts w:cstheme="minorHAnsi"/>
          <w:sz w:val="24"/>
          <w:szCs w:val="24"/>
        </w:rPr>
      </w:pPr>
    </w:p>
    <w:p w14:paraId="485C87B4" w14:textId="77777777" w:rsidR="001B0D1C" w:rsidRDefault="001B0D1C">
      <w:pPr>
        <w:rPr>
          <w:rFonts w:cstheme="minorHAnsi"/>
          <w:sz w:val="24"/>
          <w:szCs w:val="24"/>
        </w:rPr>
      </w:pPr>
    </w:p>
    <w:p w14:paraId="3A97F5F6" w14:textId="77777777" w:rsidR="001B0D1C" w:rsidRDefault="001B0D1C">
      <w:pPr>
        <w:rPr>
          <w:rFonts w:cstheme="minorHAnsi"/>
          <w:sz w:val="24"/>
          <w:szCs w:val="24"/>
        </w:rPr>
      </w:pPr>
    </w:p>
    <w:p w14:paraId="57AA1001" w14:textId="77777777" w:rsidR="001B0D1C" w:rsidRDefault="001B0D1C">
      <w:pPr>
        <w:rPr>
          <w:rFonts w:cstheme="minorHAnsi"/>
          <w:sz w:val="24"/>
          <w:szCs w:val="24"/>
        </w:rPr>
      </w:pPr>
    </w:p>
    <w:p w14:paraId="32040B75" w14:textId="77777777" w:rsidR="001B0D1C" w:rsidRDefault="001B0D1C">
      <w:pPr>
        <w:rPr>
          <w:rFonts w:cstheme="minorHAnsi"/>
          <w:sz w:val="24"/>
          <w:szCs w:val="24"/>
        </w:rPr>
      </w:pPr>
    </w:p>
    <w:p w14:paraId="185F2D76" w14:textId="7E8E939C" w:rsidR="001B0D1C" w:rsidRDefault="001B0D1C">
      <w:pPr>
        <w:rPr>
          <w:rFonts w:cstheme="minorHAnsi"/>
          <w:sz w:val="24"/>
          <w:szCs w:val="24"/>
        </w:rPr>
        <w:sectPr w:rsidR="001B0D1C" w:rsidSect="00846226">
          <w:pgSz w:w="11906" w:h="16838"/>
          <w:pgMar w:top="1440" w:right="1440" w:bottom="1440" w:left="1440" w:header="708" w:footer="708" w:gutter="0"/>
          <w:cols w:space="708"/>
          <w:docGrid w:linePitch="360"/>
        </w:sectPr>
      </w:pPr>
    </w:p>
    <w:tbl>
      <w:tblPr>
        <w:tblStyle w:val="TableGrid"/>
        <w:tblpPr w:leftFromText="180" w:rightFromText="180" w:horzAnchor="margin" w:tblpY="921"/>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406"/>
        <w:gridCol w:w="3252"/>
        <w:gridCol w:w="4394"/>
        <w:gridCol w:w="2896"/>
      </w:tblGrid>
      <w:tr w:rsidR="00E306CC" w14:paraId="5501D009" w14:textId="77777777" w:rsidTr="41FA2996">
        <w:trPr>
          <w:tblHeader/>
        </w:trPr>
        <w:tc>
          <w:tcPr>
            <w:tcW w:w="3406"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55B55784" w14:textId="73061891" w:rsidR="00864A37" w:rsidRPr="003B4343" w:rsidRDefault="00864A37">
            <w:pPr>
              <w:jc w:val="center"/>
              <w:rPr>
                <w:rFonts w:cstheme="minorHAnsi"/>
                <w:b/>
                <w:color w:val="FFFFFF" w:themeColor="background1"/>
              </w:rPr>
            </w:pPr>
            <w:bookmarkStart w:id="4" w:name="_Hlk70438876"/>
            <w:r w:rsidRPr="003B4343">
              <w:rPr>
                <w:rFonts w:cstheme="minorHAnsi"/>
                <w:b/>
                <w:color w:val="FFFFFF" w:themeColor="background1"/>
              </w:rPr>
              <w:lastRenderedPageBreak/>
              <w:t>Equality Outcomes</w:t>
            </w:r>
          </w:p>
          <w:p w14:paraId="28EB51D9" w14:textId="77777777" w:rsidR="00864A37" w:rsidRPr="003B4343" w:rsidRDefault="00864A37">
            <w:pPr>
              <w:jc w:val="center"/>
              <w:rPr>
                <w:rFonts w:eastAsia="Times New Roman" w:cstheme="minorHAnsi"/>
                <w:b/>
                <w:bCs/>
                <w:color w:val="003865"/>
                <w:kern w:val="36"/>
                <w:lang w:eastAsia="en-GB"/>
              </w:rPr>
            </w:pPr>
            <w:r w:rsidRPr="003B4343">
              <w:rPr>
                <w:rFonts w:cstheme="minorHAnsi"/>
                <w:b/>
                <w:color w:val="FFFFFF" w:themeColor="background1"/>
              </w:rPr>
              <w:t>20</w:t>
            </w:r>
            <w:r>
              <w:rPr>
                <w:rFonts w:cstheme="minorHAnsi"/>
                <w:b/>
                <w:color w:val="FFFFFF" w:themeColor="background1"/>
              </w:rPr>
              <w:t>21</w:t>
            </w:r>
            <w:r w:rsidRPr="003B4343">
              <w:rPr>
                <w:rFonts w:cstheme="minorHAnsi"/>
                <w:b/>
                <w:color w:val="FFFFFF" w:themeColor="background1"/>
              </w:rPr>
              <w:t>-202</w:t>
            </w:r>
            <w:r>
              <w:rPr>
                <w:rFonts w:cstheme="minorHAnsi"/>
                <w:b/>
                <w:color w:val="FFFFFF" w:themeColor="background1"/>
              </w:rPr>
              <w:t>5</w:t>
            </w:r>
          </w:p>
        </w:tc>
        <w:tc>
          <w:tcPr>
            <w:tcW w:w="3252" w:type="dxa"/>
            <w:tcBorders>
              <w:left w:val="single" w:sz="4" w:space="0" w:color="FFFFFF" w:themeColor="background1"/>
              <w:right w:val="single" w:sz="4" w:space="0" w:color="FFFFFF" w:themeColor="background1"/>
            </w:tcBorders>
            <w:shd w:val="clear" w:color="auto" w:fill="003865"/>
            <w:vAlign w:val="center"/>
            <w:hideMark/>
          </w:tcPr>
          <w:p w14:paraId="66AFC513" w14:textId="77777777" w:rsidR="00864A37" w:rsidRPr="003B4343" w:rsidRDefault="00864A37">
            <w:pPr>
              <w:jc w:val="center"/>
              <w:rPr>
                <w:rFonts w:eastAsia="Times New Roman" w:cstheme="minorHAnsi"/>
                <w:b/>
                <w:bCs/>
                <w:color w:val="003865"/>
                <w:kern w:val="36"/>
                <w:lang w:eastAsia="en-GB"/>
              </w:rPr>
            </w:pPr>
            <w:r w:rsidRPr="003B4343">
              <w:rPr>
                <w:rFonts w:cstheme="minorHAnsi"/>
                <w:b/>
                <w:color w:val="FFFFFF" w:themeColor="background1"/>
              </w:rPr>
              <w:t>Action</w:t>
            </w:r>
          </w:p>
        </w:tc>
        <w:tc>
          <w:tcPr>
            <w:tcW w:w="4394" w:type="dxa"/>
            <w:tcBorders>
              <w:left w:val="single" w:sz="4" w:space="0" w:color="FFFFFF" w:themeColor="background1"/>
              <w:right w:val="single" w:sz="4" w:space="0" w:color="FFFFFF" w:themeColor="background1"/>
            </w:tcBorders>
            <w:shd w:val="clear" w:color="auto" w:fill="003865"/>
            <w:vAlign w:val="center"/>
            <w:hideMark/>
          </w:tcPr>
          <w:p w14:paraId="0028628B" w14:textId="472FB266" w:rsidR="00864A37" w:rsidRPr="003B4343" w:rsidRDefault="0023115D">
            <w:pPr>
              <w:jc w:val="center"/>
              <w:rPr>
                <w:rFonts w:eastAsia="Times New Roman" w:cstheme="minorHAnsi"/>
                <w:b/>
                <w:bCs/>
                <w:color w:val="003865"/>
                <w:kern w:val="36"/>
                <w:lang w:eastAsia="en-GB"/>
              </w:rPr>
            </w:pPr>
            <w:r>
              <w:rPr>
                <w:rFonts w:cstheme="minorHAnsi"/>
                <w:b/>
                <w:color w:val="FFFFFF" w:themeColor="background1"/>
              </w:rPr>
              <w:t>March 2023 Update</w:t>
            </w:r>
          </w:p>
        </w:tc>
        <w:tc>
          <w:tcPr>
            <w:tcW w:w="2896" w:type="dxa"/>
            <w:tcBorders>
              <w:left w:val="single" w:sz="4" w:space="0" w:color="FFFFFF" w:themeColor="background1"/>
            </w:tcBorders>
            <w:shd w:val="clear" w:color="auto" w:fill="003865"/>
            <w:vAlign w:val="center"/>
            <w:hideMark/>
          </w:tcPr>
          <w:p w14:paraId="28590C8B" w14:textId="77777777" w:rsidR="00864A37" w:rsidRPr="003B4343" w:rsidRDefault="00864A37">
            <w:pPr>
              <w:jc w:val="center"/>
              <w:rPr>
                <w:rFonts w:cstheme="minorHAnsi"/>
                <w:b/>
                <w:color w:val="FFFFFF" w:themeColor="background1"/>
              </w:rPr>
            </w:pPr>
            <w:r w:rsidRPr="003B4343">
              <w:rPr>
                <w:rFonts w:cstheme="minorHAnsi"/>
                <w:b/>
                <w:color w:val="FFFFFF" w:themeColor="background1"/>
              </w:rPr>
              <w:t>Success Measures/Intended Impact</w:t>
            </w:r>
          </w:p>
          <w:p w14:paraId="7B43041D" w14:textId="77777777" w:rsidR="00864A37" w:rsidRPr="003B4343" w:rsidRDefault="00864A37">
            <w:pPr>
              <w:jc w:val="center"/>
              <w:rPr>
                <w:rFonts w:eastAsia="Times New Roman" w:cstheme="minorHAnsi"/>
                <w:b/>
                <w:bCs/>
                <w:color w:val="003865"/>
                <w:kern w:val="36"/>
                <w:lang w:eastAsia="en-GB"/>
              </w:rPr>
            </w:pPr>
          </w:p>
        </w:tc>
      </w:tr>
      <w:bookmarkEnd w:id="4"/>
      <w:tr w:rsidR="00E306CC" w14:paraId="5457D896" w14:textId="77777777" w:rsidTr="41FA2996">
        <w:trPr>
          <w:tblHeader/>
        </w:trPr>
        <w:tc>
          <w:tcPr>
            <w:tcW w:w="3406" w:type="dxa"/>
            <w:tcBorders>
              <w:top w:val="single" w:sz="4" w:space="0" w:color="FFFFFF" w:themeColor="background1"/>
              <w:left w:val="single" w:sz="4" w:space="0" w:color="003865"/>
              <w:bottom w:val="single" w:sz="4" w:space="0" w:color="FFFFFF" w:themeColor="background1"/>
              <w:right w:val="single" w:sz="4" w:space="0" w:color="003865"/>
            </w:tcBorders>
            <w:shd w:val="clear" w:color="auto" w:fill="003865"/>
            <w:vAlign w:val="center"/>
          </w:tcPr>
          <w:p w14:paraId="4196BAB8" w14:textId="77777777" w:rsidR="00864A37" w:rsidRPr="005C4618" w:rsidRDefault="00864A37">
            <w:pPr>
              <w:rPr>
                <w:rFonts w:eastAsia="Times New Roman" w:cstheme="minorHAnsi"/>
                <w:b/>
                <w:bCs/>
                <w:color w:val="FFFFFF" w:themeColor="background1"/>
                <w:kern w:val="36"/>
                <w:lang w:eastAsia="en-GB"/>
              </w:rPr>
            </w:pPr>
            <w:r w:rsidRPr="00AF1F69">
              <w:rPr>
                <w:rFonts w:eastAsia="Times New Roman" w:cstheme="minorHAnsi"/>
                <w:color w:val="FFFFFF" w:themeColor="background1"/>
                <w:kern w:val="36"/>
                <w:lang w:eastAsia="en-GB"/>
              </w:rPr>
              <w:t>1. Improve our</w:t>
            </w:r>
            <w:r>
              <w:rPr>
                <w:rFonts w:eastAsia="Times New Roman" w:cstheme="minorHAnsi"/>
                <w:color w:val="FFFFFF" w:themeColor="background1"/>
                <w:kern w:val="36"/>
                <w:lang w:eastAsia="en-GB"/>
              </w:rPr>
              <w:t xml:space="preserve"> engaging and enabling </w:t>
            </w:r>
            <w:r w:rsidRPr="00AF1F69">
              <w:rPr>
                <w:rFonts w:eastAsia="Times New Roman" w:cstheme="minorHAnsi"/>
                <w:color w:val="FFFFFF" w:themeColor="background1"/>
                <w:kern w:val="36"/>
                <w:lang w:eastAsia="en-GB"/>
              </w:rPr>
              <w:t>culture for women through continued focus on increasing the percentage of senior women, growing the talent pipeline, and creating a positive campus culture</w:t>
            </w:r>
            <w:r>
              <w:rPr>
                <w:rFonts w:eastAsia="Times New Roman" w:cstheme="minorHAnsi"/>
                <w:b/>
                <w:bCs/>
                <w:color w:val="FFFFFF" w:themeColor="background1"/>
                <w:kern w:val="36"/>
                <w:lang w:eastAsia="en-GB"/>
              </w:rPr>
              <w:t>.</w:t>
            </w:r>
          </w:p>
          <w:p w14:paraId="4E85E954" w14:textId="77777777" w:rsidR="00864A37" w:rsidRPr="005C4618" w:rsidRDefault="00864A37">
            <w:pPr>
              <w:rPr>
                <w:rFonts w:eastAsia="Times New Roman" w:cstheme="minorHAnsi"/>
                <w:b/>
                <w:bCs/>
                <w:color w:val="FFFFFF" w:themeColor="background1"/>
                <w:kern w:val="36"/>
                <w:lang w:eastAsia="en-GB"/>
              </w:rPr>
            </w:pPr>
          </w:p>
        </w:tc>
        <w:tc>
          <w:tcPr>
            <w:tcW w:w="3252" w:type="dxa"/>
            <w:tcBorders>
              <w:left w:val="single" w:sz="4" w:space="0" w:color="003865"/>
            </w:tcBorders>
            <w:vAlign w:val="center"/>
          </w:tcPr>
          <w:p w14:paraId="0255161C" w14:textId="77777777" w:rsidR="00864A37" w:rsidRDefault="00864A37" w:rsidP="005D6206">
            <w:pPr>
              <w:pStyle w:val="ListParagraph"/>
              <w:numPr>
                <w:ilvl w:val="0"/>
                <w:numId w:val="22"/>
              </w:numPr>
              <w:spacing w:after="0" w:line="240" w:lineRule="auto"/>
              <w:rPr>
                <w:rFonts w:cstheme="minorHAnsi"/>
              </w:rPr>
            </w:pPr>
            <w:r>
              <w:rPr>
                <w:rFonts w:cstheme="minorHAnsi"/>
              </w:rPr>
              <w:t xml:space="preserve">Senior </w:t>
            </w:r>
            <w:r w:rsidRPr="00E609E4">
              <w:rPr>
                <w:rFonts w:cstheme="minorHAnsi"/>
              </w:rPr>
              <w:t xml:space="preserve">women </w:t>
            </w:r>
            <w:r>
              <w:rPr>
                <w:rFonts w:cstheme="minorHAnsi"/>
              </w:rPr>
              <w:t xml:space="preserve">– </w:t>
            </w:r>
            <w:r w:rsidRPr="00E609E4">
              <w:rPr>
                <w:rFonts w:cstheme="minorHAnsi"/>
              </w:rPr>
              <w:t>KPI</w:t>
            </w:r>
            <w:r>
              <w:rPr>
                <w:rFonts w:cstheme="minorHAnsi"/>
              </w:rPr>
              <w:t xml:space="preserve"> 50% by 2030</w:t>
            </w:r>
          </w:p>
          <w:p w14:paraId="153DD471" w14:textId="77777777" w:rsidR="00864A37" w:rsidRDefault="00864A37" w:rsidP="005D6206">
            <w:pPr>
              <w:pStyle w:val="ListParagraph"/>
              <w:numPr>
                <w:ilvl w:val="0"/>
                <w:numId w:val="22"/>
              </w:numPr>
              <w:spacing w:after="0" w:line="240" w:lineRule="auto"/>
              <w:rPr>
                <w:rFonts w:cstheme="minorHAnsi"/>
              </w:rPr>
            </w:pPr>
            <w:r>
              <w:rPr>
                <w:rFonts w:cstheme="minorHAnsi"/>
              </w:rPr>
              <w:t>Continued support for School/RI Athena Swan applications and success.</w:t>
            </w:r>
          </w:p>
          <w:p w14:paraId="000BA33C" w14:textId="77777777" w:rsidR="00864A37" w:rsidRDefault="00864A37" w:rsidP="005D6206">
            <w:pPr>
              <w:pStyle w:val="ListParagraph"/>
              <w:numPr>
                <w:ilvl w:val="0"/>
                <w:numId w:val="22"/>
              </w:numPr>
              <w:spacing w:after="0" w:line="240" w:lineRule="auto"/>
              <w:rPr>
                <w:rFonts w:cstheme="minorHAnsi"/>
              </w:rPr>
            </w:pPr>
            <w:r>
              <w:rPr>
                <w:rFonts w:cstheme="minorHAnsi"/>
              </w:rPr>
              <w:t>Review the policy framework and address identified policy gaps.</w:t>
            </w:r>
          </w:p>
          <w:p w14:paraId="5981F768" w14:textId="77777777" w:rsidR="00864A37" w:rsidRPr="003B4343" w:rsidRDefault="00864A37" w:rsidP="005D6206">
            <w:pPr>
              <w:pStyle w:val="ListParagraph"/>
              <w:numPr>
                <w:ilvl w:val="0"/>
                <w:numId w:val="22"/>
              </w:numPr>
              <w:spacing w:after="0" w:line="240" w:lineRule="auto"/>
              <w:rPr>
                <w:rFonts w:cstheme="minorHAnsi"/>
              </w:rPr>
            </w:pPr>
            <w:r>
              <w:rPr>
                <w:rFonts w:cstheme="minorHAnsi"/>
              </w:rPr>
              <w:t>Implementation of the GBV framework and associated action plan.</w:t>
            </w:r>
          </w:p>
        </w:tc>
        <w:tc>
          <w:tcPr>
            <w:tcW w:w="4394" w:type="dxa"/>
            <w:vAlign w:val="center"/>
          </w:tcPr>
          <w:p w14:paraId="6176B4DB" w14:textId="77777777" w:rsidR="00864A37" w:rsidRPr="0086497A" w:rsidRDefault="001C3CEF" w:rsidP="005D6206">
            <w:pPr>
              <w:pStyle w:val="ListParagraph"/>
              <w:numPr>
                <w:ilvl w:val="0"/>
                <w:numId w:val="22"/>
              </w:numPr>
              <w:spacing w:after="0" w:line="240" w:lineRule="auto"/>
              <w:rPr>
                <w:rFonts w:cstheme="minorHAnsi"/>
              </w:rPr>
            </w:pPr>
            <w:r w:rsidRPr="0086497A">
              <w:rPr>
                <w:rFonts w:cstheme="minorHAnsi"/>
              </w:rPr>
              <w:t>Menopause and Hormonal Changes Policy launched.</w:t>
            </w:r>
          </w:p>
          <w:p w14:paraId="32BDA958" w14:textId="77777777" w:rsidR="001C3CEF" w:rsidRPr="0086497A" w:rsidRDefault="001C3CEF" w:rsidP="005D6206">
            <w:pPr>
              <w:pStyle w:val="ListParagraph"/>
              <w:numPr>
                <w:ilvl w:val="0"/>
                <w:numId w:val="22"/>
              </w:numPr>
              <w:spacing w:after="0" w:line="240" w:lineRule="auto"/>
              <w:rPr>
                <w:rFonts w:cstheme="minorHAnsi"/>
              </w:rPr>
            </w:pPr>
            <w:r w:rsidRPr="0086497A">
              <w:rPr>
                <w:rFonts w:cstheme="minorHAnsi"/>
              </w:rPr>
              <w:t>Continued support for Schools completing AS applications.</w:t>
            </w:r>
          </w:p>
          <w:p w14:paraId="2AFA7D69" w14:textId="212C7BA6" w:rsidR="001C3CEF" w:rsidRPr="0086497A" w:rsidRDefault="004223B8" w:rsidP="41FA2996">
            <w:pPr>
              <w:pStyle w:val="ListParagraph"/>
              <w:numPr>
                <w:ilvl w:val="0"/>
                <w:numId w:val="22"/>
              </w:numPr>
              <w:spacing w:after="0" w:line="240" w:lineRule="auto"/>
            </w:pPr>
            <w:r w:rsidRPr="41FA2996">
              <w:t xml:space="preserve">GBV action plan – Code of Professional Conduct; Sexual </w:t>
            </w:r>
            <w:r w:rsidR="00D0742B" w:rsidRPr="41FA2996">
              <w:t>Harassment</w:t>
            </w:r>
            <w:r w:rsidRPr="41FA2996">
              <w:t xml:space="preserve"> Investigators Training; First Responders training; review of web materials</w:t>
            </w:r>
            <w:r w:rsidR="003D2311" w:rsidRPr="41FA2996">
              <w:t>; promotion of reporting tools</w:t>
            </w:r>
            <w:r w:rsidR="0086497A" w:rsidRPr="41FA2996">
              <w:t>.</w:t>
            </w:r>
          </w:p>
          <w:p w14:paraId="6921E663" w14:textId="41358A42" w:rsidR="001C3CEF" w:rsidRPr="0086497A" w:rsidRDefault="3C10215A" w:rsidP="41FA2996">
            <w:pPr>
              <w:pStyle w:val="ListParagraph"/>
              <w:numPr>
                <w:ilvl w:val="0"/>
                <w:numId w:val="22"/>
              </w:numPr>
              <w:spacing w:after="0" w:line="240" w:lineRule="auto"/>
            </w:pPr>
            <w:r w:rsidRPr="41FA2996">
              <w:t>Ross Report Recommendations AP will address highlighted concerns relating to systemic GBV issues.</w:t>
            </w:r>
          </w:p>
        </w:tc>
        <w:tc>
          <w:tcPr>
            <w:tcW w:w="2896" w:type="dxa"/>
            <w:vAlign w:val="center"/>
          </w:tcPr>
          <w:p w14:paraId="5490527C" w14:textId="77777777" w:rsidR="00864A37" w:rsidRPr="008C3D95" w:rsidRDefault="00864A37" w:rsidP="005D6206">
            <w:pPr>
              <w:pStyle w:val="ListParagraph"/>
              <w:numPr>
                <w:ilvl w:val="0"/>
                <w:numId w:val="23"/>
              </w:numPr>
              <w:spacing w:after="0" w:line="240" w:lineRule="auto"/>
              <w:rPr>
                <w:rFonts w:cstheme="minorHAnsi"/>
              </w:rPr>
            </w:pPr>
            <w:r w:rsidRPr="008C3D95">
              <w:rPr>
                <w:rFonts w:cstheme="minorHAnsi"/>
              </w:rPr>
              <w:t>Senior women KPI</w:t>
            </w:r>
            <w:r>
              <w:rPr>
                <w:rFonts w:cstheme="minorHAnsi"/>
              </w:rPr>
              <w:t xml:space="preserve"> – 50% by 2030</w:t>
            </w:r>
          </w:p>
          <w:p w14:paraId="3FB935D0" w14:textId="77777777" w:rsidR="00864A37" w:rsidRPr="008C3D95" w:rsidRDefault="00864A37" w:rsidP="005D6206">
            <w:pPr>
              <w:pStyle w:val="ListParagraph"/>
              <w:numPr>
                <w:ilvl w:val="0"/>
                <w:numId w:val="23"/>
              </w:numPr>
              <w:spacing w:after="0" w:line="240" w:lineRule="auto"/>
              <w:rPr>
                <w:rFonts w:cstheme="minorHAnsi"/>
              </w:rPr>
            </w:pPr>
            <w:r>
              <w:rPr>
                <w:rFonts w:cstheme="minorHAnsi"/>
              </w:rPr>
              <w:t>All</w:t>
            </w:r>
            <w:r w:rsidRPr="008C3D95">
              <w:rPr>
                <w:rFonts w:cstheme="minorHAnsi"/>
              </w:rPr>
              <w:t xml:space="preserve"> Schools/RI</w:t>
            </w:r>
            <w:r>
              <w:rPr>
                <w:rFonts w:cstheme="minorHAnsi"/>
              </w:rPr>
              <w:t>s</w:t>
            </w:r>
            <w:r w:rsidRPr="008C3D95">
              <w:rPr>
                <w:rFonts w:cstheme="minorHAnsi"/>
              </w:rPr>
              <w:t xml:space="preserve"> hold AS awards</w:t>
            </w:r>
          </w:p>
          <w:p w14:paraId="3F525370" w14:textId="77777777" w:rsidR="00864A37" w:rsidRPr="003B4343" w:rsidRDefault="00864A37" w:rsidP="005D6206">
            <w:pPr>
              <w:pStyle w:val="ListParagraph"/>
              <w:numPr>
                <w:ilvl w:val="0"/>
                <w:numId w:val="23"/>
              </w:numPr>
              <w:spacing w:after="0" w:line="240" w:lineRule="auto"/>
              <w:rPr>
                <w:rFonts w:eastAsia="Times New Roman" w:cstheme="minorHAnsi"/>
                <w:b/>
                <w:bCs/>
                <w:color w:val="003865"/>
                <w:kern w:val="36"/>
                <w:lang w:eastAsia="en-GB"/>
              </w:rPr>
            </w:pPr>
            <w:r w:rsidRPr="008C3D95">
              <w:rPr>
                <w:rFonts w:cstheme="minorHAnsi"/>
              </w:rPr>
              <w:t>Policy development/review – Menopause, Fertility, Student Maternity</w:t>
            </w:r>
          </w:p>
        </w:tc>
      </w:tr>
      <w:tr w:rsidR="00E306CC" w14:paraId="49AAB20F" w14:textId="77777777" w:rsidTr="41FA2996">
        <w:trPr>
          <w:trHeight w:val="699"/>
          <w:tblHeader/>
        </w:trPr>
        <w:tc>
          <w:tcPr>
            <w:tcW w:w="3406" w:type="dxa"/>
            <w:tcBorders>
              <w:top w:val="single" w:sz="4" w:space="0" w:color="FFFFFF" w:themeColor="background1"/>
              <w:bottom w:val="single" w:sz="4" w:space="0" w:color="FFFFFF" w:themeColor="background1"/>
            </w:tcBorders>
            <w:shd w:val="clear" w:color="auto" w:fill="003865"/>
            <w:vAlign w:val="center"/>
          </w:tcPr>
          <w:p w14:paraId="491CD7B8" w14:textId="77777777" w:rsidR="00864A37" w:rsidRPr="008764C1" w:rsidRDefault="00864A37">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2. </w:t>
            </w:r>
            <w:r>
              <w:rPr>
                <w:rFonts w:eastAsia="Times New Roman" w:cstheme="minorHAnsi"/>
                <w:color w:val="FFFFFF" w:themeColor="background1"/>
                <w:kern w:val="36"/>
                <w:lang w:eastAsia="en-GB"/>
              </w:rPr>
              <w:t>By embracing diversity and respecting difference we take an</w:t>
            </w:r>
            <w:r w:rsidRPr="00760671">
              <w:rPr>
                <w:rFonts w:eastAsia="Times New Roman" w:cstheme="minorHAnsi"/>
                <w:color w:val="FFFFFF" w:themeColor="background1"/>
                <w:kern w:val="36"/>
                <w:lang w:eastAsia="en-GB"/>
              </w:rPr>
              <w:t xml:space="preserve"> anti-racist approach to race equality work and a</w:t>
            </w:r>
            <w:r>
              <w:rPr>
                <w:rFonts w:eastAsia="Times New Roman" w:cstheme="minorHAnsi"/>
                <w:color w:val="FFFFFF" w:themeColor="background1"/>
                <w:kern w:val="36"/>
                <w:lang w:eastAsia="en-GB"/>
              </w:rPr>
              <w:t>im to address</w:t>
            </w:r>
            <w:r w:rsidRPr="00760671">
              <w:rPr>
                <w:rFonts w:eastAsia="Times New Roman" w:cstheme="minorHAnsi"/>
                <w:color w:val="FFFFFF" w:themeColor="background1"/>
                <w:kern w:val="36"/>
                <w:lang w:eastAsia="en-GB"/>
              </w:rPr>
              <w:t xml:space="preserve"> structural inequalities</w:t>
            </w:r>
            <w:r>
              <w:rPr>
                <w:rFonts w:eastAsia="Times New Roman" w:cstheme="minorHAnsi"/>
                <w:color w:val="FFFFFF" w:themeColor="background1"/>
                <w:kern w:val="36"/>
                <w:lang w:eastAsia="en-GB"/>
              </w:rPr>
              <w:t>.</w:t>
            </w:r>
          </w:p>
        </w:tc>
        <w:tc>
          <w:tcPr>
            <w:tcW w:w="3252" w:type="dxa"/>
            <w:vAlign w:val="center"/>
          </w:tcPr>
          <w:p w14:paraId="728C96E4" w14:textId="77777777" w:rsidR="00864A37" w:rsidRPr="0035653E" w:rsidRDefault="00864A37" w:rsidP="00864A37">
            <w:pPr>
              <w:pStyle w:val="ListParagraph"/>
              <w:numPr>
                <w:ilvl w:val="0"/>
                <w:numId w:val="22"/>
              </w:numPr>
              <w:spacing w:after="0" w:line="240" w:lineRule="auto"/>
              <w:rPr>
                <w:rFonts w:cstheme="minorHAnsi"/>
              </w:rPr>
            </w:pPr>
            <w:r w:rsidRPr="41FA2996">
              <w:t xml:space="preserve">Implementation of the </w:t>
            </w:r>
            <w:hyperlink r:id="rId22">
              <w:r w:rsidRPr="41FA2996">
                <w:rPr>
                  <w:rStyle w:val="Hyperlink"/>
                </w:rPr>
                <w:t>URTUC Action Plan</w:t>
              </w:r>
            </w:hyperlink>
            <w:r w:rsidRPr="41FA2996">
              <w:t>.</w:t>
            </w:r>
          </w:p>
          <w:p w14:paraId="16859BFF" w14:textId="77777777" w:rsidR="00864A37" w:rsidRPr="0035653E" w:rsidRDefault="00864A37">
            <w:pPr>
              <w:rPr>
                <w:rFonts w:eastAsia="Times New Roman" w:cstheme="minorHAnsi"/>
                <w:kern w:val="36"/>
                <w:lang w:eastAsia="en-GB"/>
              </w:rPr>
            </w:pPr>
          </w:p>
        </w:tc>
        <w:tc>
          <w:tcPr>
            <w:tcW w:w="4394" w:type="dxa"/>
            <w:vAlign w:val="center"/>
          </w:tcPr>
          <w:p w14:paraId="68F84482" w14:textId="77777777" w:rsidR="00864A37" w:rsidRDefault="00E306CC">
            <w:pPr>
              <w:rPr>
                <w:rFonts w:eastAsia="Times New Roman" w:cstheme="minorHAnsi"/>
                <w:kern w:val="36"/>
                <w:lang w:eastAsia="en-GB"/>
              </w:rPr>
            </w:pPr>
            <w:r>
              <w:rPr>
                <w:rFonts w:eastAsia="Times New Roman" w:cstheme="minorHAnsi"/>
                <w:kern w:val="36"/>
                <w:lang w:eastAsia="en-GB"/>
              </w:rPr>
              <w:t>URTUC implementation includes:</w:t>
            </w:r>
          </w:p>
          <w:p w14:paraId="4748F6B4" w14:textId="77777777" w:rsidR="00E306CC" w:rsidRPr="00A1422E" w:rsidRDefault="00E306CC"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Setting KPI on growing the % of UK BAME staff.</w:t>
            </w:r>
          </w:p>
          <w:p w14:paraId="35B75C05" w14:textId="77777777" w:rsidR="00E306CC" w:rsidRPr="00A1422E" w:rsidRDefault="00CC2729"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Established a UofG Global majority network.</w:t>
            </w:r>
          </w:p>
          <w:p w14:paraId="7A8C20BF" w14:textId="77777777" w:rsidR="00CC2729" w:rsidRPr="00A1422E" w:rsidRDefault="00CC2729"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Launched of the JM</w:t>
            </w:r>
            <w:r w:rsidR="004D0FA9" w:rsidRPr="41FA2996">
              <w:rPr>
                <w:rFonts w:eastAsia="Times New Roman"/>
                <w:kern w:val="36"/>
                <w:lang w:eastAsia="en-GB"/>
              </w:rPr>
              <w:t>S PhD Scholarships for UK Black students.</w:t>
            </w:r>
          </w:p>
          <w:p w14:paraId="28E35AB9" w14:textId="77777777" w:rsidR="004D0FA9" w:rsidRPr="00A1422E" w:rsidRDefault="009D1B33"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Together Against Racism campaign and resources.</w:t>
            </w:r>
          </w:p>
          <w:p w14:paraId="0E9BAF1B" w14:textId="77777777" w:rsidR="00103D05" w:rsidRPr="00A1422E" w:rsidRDefault="00103D05"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 xml:space="preserve">Data analysis for degree attainment and recruitment </w:t>
            </w:r>
            <w:r w:rsidR="008A4D93" w:rsidRPr="41FA2996">
              <w:rPr>
                <w:rFonts w:eastAsia="Times New Roman"/>
                <w:kern w:val="36"/>
                <w:lang w:eastAsia="en-GB"/>
              </w:rPr>
              <w:t>for BAME students/staff completed.</w:t>
            </w:r>
          </w:p>
          <w:p w14:paraId="06A339DE" w14:textId="77777777" w:rsidR="008A4D93" w:rsidRPr="00A1422E" w:rsidRDefault="008A4D93"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Focus groups with academic BAME staff completed.</w:t>
            </w:r>
          </w:p>
          <w:p w14:paraId="14D7AF5E" w14:textId="7B8C31A5" w:rsidR="008A4D93" w:rsidRPr="00A1422E" w:rsidRDefault="00A1422E" w:rsidP="00A1422E">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Training of SMG/Senior leaders/Operational staff.</w:t>
            </w:r>
          </w:p>
        </w:tc>
        <w:tc>
          <w:tcPr>
            <w:tcW w:w="2896" w:type="dxa"/>
            <w:vAlign w:val="center"/>
          </w:tcPr>
          <w:p w14:paraId="316F743A" w14:textId="77777777" w:rsidR="00864A37" w:rsidRDefault="00864A37" w:rsidP="00864A37">
            <w:pPr>
              <w:pStyle w:val="ListParagraph"/>
              <w:numPr>
                <w:ilvl w:val="0"/>
                <w:numId w:val="24"/>
              </w:numPr>
              <w:spacing w:after="0" w:line="240" w:lineRule="auto"/>
              <w:rPr>
                <w:rFonts w:eastAsia="Times New Roman" w:cstheme="minorHAnsi"/>
                <w:kern w:val="36"/>
                <w:lang w:eastAsia="en-GB"/>
              </w:rPr>
            </w:pPr>
            <w:r>
              <w:rPr>
                <w:rFonts w:eastAsia="Times New Roman" w:cstheme="minorHAnsi"/>
                <w:kern w:val="36"/>
                <w:lang w:eastAsia="en-GB"/>
              </w:rPr>
              <w:t>Increased UK BAME recruitment - aiming for ‘travel to work area’ benchmark.</w:t>
            </w:r>
          </w:p>
          <w:p w14:paraId="1BCAAF10" w14:textId="77777777" w:rsidR="00864A37" w:rsidRPr="003B4343" w:rsidRDefault="00864A37" w:rsidP="00864A37">
            <w:pPr>
              <w:pStyle w:val="ListParagraph"/>
              <w:numPr>
                <w:ilvl w:val="0"/>
                <w:numId w:val="24"/>
              </w:numPr>
              <w:spacing w:after="0" w:line="240" w:lineRule="auto"/>
              <w:rPr>
                <w:rFonts w:eastAsia="Times New Roman" w:cstheme="minorHAnsi"/>
                <w:kern w:val="36"/>
                <w:lang w:eastAsia="en-GB"/>
              </w:rPr>
            </w:pPr>
            <w:r>
              <w:rPr>
                <w:rFonts w:eastAsia="Times New Roman" w:cstheme="minorHAnsi"/>
                <w:kern w:val="36"/>
                <w:lang w:eastAsia="en-GB"/>
              </w:rPr>
              <w:t>Success measures detailed in the URTUC action plan.</w:t>
            </w:r>
          </w:p>
        </w:tc>
      </w:tr>
      <w:tr w:rsidR="00E306CC" w14:paraId="2E467C23" w14:textId="77777777" w:rsidTr="004F64DF">
        <w:trPr>
          <w:tblHeader/>
        </w:trPr>
        <w:tc>
          <w:tcPr>
            <w:tcW w:w="3406" w:type="dxa"/>
            <w:tcBorders>
              <w:top w:val="single" w:sz="4" w:space="0" w:color="auto"/>
              <w:bottom w:val="single" w:sz="4" w:space="0" w:color="FFFFFF" w:themeColor="background1"/>
            </w:tcBorders>
            <w:shd w:val="clear" w:color="auto" w:fill="003865"/>
            <w:vAlign w:val="center"/>
          </w:tcPr>
          <w:p w14:paraId="347DBA99" w14:textId="77777777" w:rsidR="00864A37" w:rsidRPr="008764C1" w:rsidRDefault="00864A37">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lastRenderedPageBreak/>
              <w:t xml:space="preserve">3. Implement a whole university approach to ensure disabled people can </w:t>
            </w:r>
            <w:r>
              <w:rPr>
                <w:rFonts w:eastAsia="Times New Roman" w:cstheme="minorHAnsi"/>
                <w:color w:val="FFFFFF" w:themeColor="background1"/>
                <w:kern w:val="36"/>
                <w:lang w:eastAsia="en-GB"/>
              </w:rPr>
              <w:t>engage and thrive</w:t>
            </w:r>
            <w:r w:rsidRPr="008764C1">
              <w:rPr>
                <w:rFonts w:eastAsia="Times New Roman" w:cstheme="minorHAnsi"/>
                <w:color w:val="FFFFFF" w:themeColor="background1"/>
                <w:kern w:val="36"/>
                <w:lang w:eastAsia="en-GB"/>
              </w:rPr>
              <w:t xml:space="preserve"> in</w:t>
            </w:r>
            <w:r>
              <w:rPr>
                <w:rFonts w:eastAsia="Times New Roman" w:cstheme="minorHAnsi"/>
                <w:color w:val="FFFFFF" w:themeColor="background1"/>
                <w:kern w:val="36"/>
                <w:lang w:eastAsia="en-GB"/>
              </w:rPr>
              <w:t xml:space="preserve"> campus</w:t>
            </w:r>
            <w:r w:rsidRPr="008764C1">
              <w:rPr>
                <w:rFonts w:eastAsia="Times New Roman" w:cstheme="minorHAnsi"/>
                <w:color w:val="FFFFFF" w:themeColor="background1"/>
                <w:kern w:val="36"/>
                <w:lang w:eastAsia="en-GB"/>
              </w:rPr>
              <w:t xml:space="preserve"> opportunities.</w:t>
            </w:r>
          </w:p>
        </w:tc>
        <w:tc>
          <w:tcPr>
            <w:tcW w:w="3252" w:type="dxa"/>
            <w:vAlign w:val="center"/>
          </w:tcPr>
          <w:p w14:paraId="566C4E8E" w14:textId="77777777" w:rsidR="00864A37" w:rsidRPr="00F5172B" w:rsidRDefault="00864A37" w:rsidP="00864A37">
            <w:pPr>
              <w:pStyle w:val="ListParagraph"/>
              <w:numPr>
                <w:ilvl w:val="0"/>
                <w:numId w:val="22"/>
              </w:numPr>
              <w:spacing w:after="0" w:line="240" w:lineRule="auto"/>
              <w:rPr>
                <w:rFonts w:eastAsia="Times New Roman" w:cstheme="minorHAnsi"/>
                <w:b/>
                <w:bCs/>
                <w:color w:val="003865"/>
                <w:kern w:val="36"/>
                <w:lang w:eastAsia="en-GB"/>
              </w:rPr>
            </w:pPr>
            <w:r w:rsidRPr="41FA2996">
              <w:t xml:space="preserve">Implementation of the </w:t>
            </w:r>
            <w:hyperlink r:id="rId23">
              <w:r w:rsidRPr="41FA2996">
                <w:rPr>
                  <w:rStyle w:val="Hyperlink"/>
                </w:rPr>
                <w:t>Review of Provision for Students with Disabilities</w:t>
              </w:r>
            </w:hyperlink>
            <w:r w:rsidRPr="41FA2996">
              <w:t xml:space="preserve"> </w:t>
            </w:r>
          </w:p>
          <w:p w14:paraId="140E88A9" w14:textId="77777777" w:rsidR="00864A37" w:rsidRPr="00F401A2" w:rsidRDefault="00864A37" w:rsidP="00864A37">
            <w:pPr>
              <w:pStyle w:val="ListParagraph"/>
              <w:numPr>
                <w:ilvl w:val="0"/>
                <w:numId w:val="22"/>
              </w:numPr>
              <w:spacing w:after="0" w:line="240" w:lineRule="auto"/>
              <w:rPr>
                <w:rFonts w:cstheme="minorHAnsi"/>
              </w:rPr>
            </w:pPr>
            <w:r w:rsidRPr="41FA2996">
              <w:t>Improve declarations rates for Disabled staff.</w:t>
            </w:r>
          </w:p>
          <w:p w14:paraId="0C9D8487" w14:textId="77777777" w:rsidR="00864A37" w:rsidRPr="00F401A2" w:rsidRDefault="00864A37" w:rsidP="00864A37">
            <w:pPr>
              <w:pStyle w:val="ListParagraph"/>
              <w:numPr>
                <w:ilvl w:val="0"/>
                <w:numId w:val="22"/>
              </w:numPr>
              <w:spacing w:after="0" w:line="240" w:lineRule="auto"/>
              <w:rPr>
                <w:rFonts w:eastAsia="Times New Roman" w:cstheme="minorHAnsi"/>
                <w:b/>
                <w:bCs/>
                <w:color w:val="003865"/>
                <w:kern w:val="36"/>
                <w:lang w:eastAsia="en-GB"/>
              </w:rPr>
            </w:pPr>
            <w:r w:rsidRPr="41FA2996">
              <w:t>Revision of the support mechanisms for Disabled staff to ensure a seamless service.</w:t>
            </w:r>
          </w:p>
          <w:p w14:paraId="11F1ED50" w14:textId="77777777" w:rsidR="00864A37" w:rsidRPr="003B4343" w:rsidRDefault="00864A37" w:rsidP="00864A37">
            <w:pPr>
              <w:pStyle w:val="ListParagraph"/>
              <w:numPr>
                <w:ilvl w:val="0"/>
                <w:numId w:val="22"/>
              </w:numPr>
              <w:spacing w:after="0" w:line="240" w:lineRule="auto"/>
              <w:rPr>
                <w:rFonts w:eastAsia="Times New Roman" w:cstheme="minorHAnsi"/>
                <w:b/>
                <w:bCs/>
                <w:color w:val="003865"/>
                <w:kern w:val="36"/>
                <w:lang w:eastAsia="en-GB"/>
              </w:rPr>
            </w:pPr>
            <w:r w:rsidRPr="41FA2996">
              <w:t>Use internal communications to devise and create positive narratives relating to disability.</w:t>
            </w:r>
          </w:p>
        </w:tc>
        <w:tc>
          <w:tcPr>
            <w:tcW w:w="4394" w:type="dxa"/>
            <w:vAlign w:val="center"/>
          </w:tcPr>
          <w:p w14:paraId="646838C4" w14:textId="77777777" w:rsidR="00864A37" w:rsidRPr="00082CDD" w:rsidRDefault="00DD0FCC" w:rsidP="00082CDD">
            <w:pPr>
              <w:pStyle w:val="ListParagraph"/>
              <w:numPr>
                <w:ilvl w:val="0"/>
                <w:numId w:val="22"/>
              </w:numPr>
              <w:spacing w:after="0" w:line="240" w:lineRule="auto"/>
              <w:rPr>
                <w:rFonts w:cstheme="minorHAnsi"/>
              </w:rPr>
            </w:pPr>
            <w:r w:rsidRPr="41FA2996">
              <w:t>Disabled colleague declaration rates continue to rise.</w:t>
            </w:r>
          </w:p>
          <w:p w14:paraId="6FD83AFD" w14:textId="77777777" w:rsidR="00DD0FCC" w:rsidRPr="00082CDD" w:rsidRDefault="00CD23C6" w:rsidP="00082CDD">
            <w:pPr>
              <w:pStyle w:val="ListParagraph"/>
              <w:numPr>
                <w:ilvl w:val="0"/>
                <w:numId w:val="22"/>
              </w:numPr>
              <w:spacing w:after="0" w:line="240" w:lineRule="auto"/>
              <w:rPr>
                <w:rFonts w:cstheme="minorHAnsi"/>
              </w:rPr>
            </w:pPr>
            <w:r w:rsidRPr="41FA2996">
              <w:t>A review of the process supporting Reasonable Adjustments complete</w:t>
            </w:r>
            <w:r w:rsidR="00AE7C5F" w:rsidRPr="41FA2996">
              <w:t xml:space="preserve"> and </w:t>
            </w:r>
            <w:r w:rsidRPr="41FA2996">
              <w:t>Disability and Neurodiversity Portal launched</w:t>
            </w:r>
            <w:r w:rsidR="0028791A" w:rsidRPr="41FA2996">
              <w:t>.</w:t>
            </w:r>
          </w:p>
          <w:p w14:paraId="736AAD65" w14:textId="518B2AFA" w:rsidR="0028791A" w:rsidRPr="00082CDD" w:rsidRDefault="001B564F" w:rsidP="00082CDD">
            <w:pPr>
              <w:pStyle w:val="ListParagraph"/>
              <w:numPr>
                <w:ilvl w:val="0"/>
                <w:numId w:val="22"/>
              </w:numPr>
              <w:spacing w:after="0" w:line="240" w:lineRule="auto"/>
              <w:rPr>
                <w:rFonts w:cstheme="minorHAnsi"/>
              </w:rPr>
            </w:pPr>
            <w:r w:rsidRPr="41FA2996">
              <w:t>Continued implementation of the Disability review for students</w:t>
            </w:r>
            <w:r w:rsidR="00C85CF5" w:rsidRPr="41FA2996">
              <w:t xml:space="preserve">; progress includes </w:t>
            </w:r>
            <w:r w:rsidR="00E24A91" w:rsidRPr="41FA2996">
              <w:t>–</w:t>
            </w:r>
            <w:r w:rsidR="00C85CF5" w:rsidRPr="41FA2996">
              <w:t xml:space="preserve"> </w:t>
            </w:r>
            <w:r w:rsidR="00E24A91" w:rsidRPr="41FA2996">
              <w:t>procurement of a CRM system</w:t>
            </w:r>
            <w:r w:rsidR="00AE3323" w:rsidRPr="41FA2996">
              <w:t xml:space="preserve">; review of the DC role; </w:t>
            </w:r>
            <w:r w:rsidR="00156521" w:rsidRPr="41FA2996">
              <w:t xml:space="preserve">increase in DS resourcing across a range of roles; </w:t>
            </w:r>
            <w:r w:rsidR="00C26666" w:rsidRPr="41FA2996">
              <w:t xml:space="preserve">AILP review complete and approved; </w:t>
            </w:r>
            <w:r w:rsidR="00F16AFF" w:rsidRPr="41FA2996">
              <w:t xml:space="preserve">Inclusive Assessment Working Group </w:t>
            </w:r>
            <w:r w:rsidR="004038A8" w:rsidRPr="41FA2996">
              <w:t xml:space="preserve">review complete; </w:t>
            </w:r>
            <w:r w:rsidR="00893C3A" w:rsidRPr="41FA2996">
              <w:t xml:space="preserve">additional resources provided to </w:t>
            </w:r>
            <w:r w:rsidR="005C37B3" w:rsidRPr="41FA2996">
              <w:t>S</w:t>
            </w:r>
            <w:r w:rsidR="00D424E9" w:rsidRPr="41FA2996">
              <w:t xml:space="preserve">LD for </w:t>
            </w:r>
            <w:r w:rsidR="002A6EF9" w:rsidRPr="41FA2996">
              <w:t>study skills support</w:t>
            </w:r>
            <w:r w:rsidR="00082CDD" w:rsidRPr="41FA2996">
              <w:t>.</w:t>
            </w:r>
          </w:p>
        </w:tc>
        <w:tc>
          <w:tcPr>
            <w:tcW w:w="2896" w:type="dxa"/>
            <w:vAlign w:val="center"/>
          </w:tcPr>
          <w:p w14:paraId="5E8AE56A" w14:textId="77777777" w:rsidR="00864A37" w:rsidRPr="006E7239" w:rsidRDefault="00864A37" w:rsidP="00864A37">
            <w:pPr>
              <w:pStyle w:val="ListParagraph"/>
              <w:numPr>
                <w:ilvl w:val="0"/>
                <w:numId w:val="25"/>
              </w:numPr>
              <w:spacing w:after="0" w:line="240" w:lineRule="auto"/>
              <w:rPr>
                <w:rFonts w:eastAsia="Times New Roman" w:cstheme="minorHAnsi"/>
                <w:kern w:val="36"/>
                <w:lang w:eastAsia="en-GB"/>
              </w:rPr>
            </w:pPr>
            <w:r>
              <w:rPr>
                <w:rFonts w:eastAsia="Times New Roman" w:cstheme="minorHAnsi"/>
                <w:kern w:val="36"/>
                <w:lang w:eastAsia="en-GB"/>
              </w:rPr>
              <w:t xml:space="preserve">Staff </w:t>
            </w:r>
            <w:r w:rsidRPr="006E7239">
              <w:rPr>
                <w:rFonts w:eastAsia="Times New Roman" w:cstheme="minorHAnsi"/>
                <w:kern w:val="36"/>
                <w:lang w:eastAsia="en-GB"/>
              </w:rPr>
              <w:t xml:space="preserve">Disability declaration rates – </w:t>
            </w:r>
            <w:r>
              <w:rPr>
                <w:rFonts w:eastAsia="Times New Roman" w:cstheme="minorHAnsi"/>
                <w:kern w:val="36"/>
                <w:lang w:eastAsia="en-GB"/>
              </w:rPr>
              <w:t>increase year on year from 2021.</w:t>
            </w:r>
          </w:p>
          <w:p w14:paraId="118FF8BD" w14:textId="77777777" w:rsidR="00864A37" w:rsidRPr="006E7239" w:rsidRDefault="00864A37" w:rsidP="00864A37">
            <w:pPr>
              <w:pStyle w:val="ListParagraph"/>
              <w:numPr>
                <w:ilvl w:val="0"/>
                <w:numId w:val="25"/>
              </w:numPr>
              <w:spacing w:after="0" w:line="240" w:lineRule="auto"/>
              <w:rPr>
                <w:rFonts w:eastAsia="Times New Roman" w:cstheme="minorHAnsi"/>
                <w:kern w:val="36"/>
                <w:lang w:eastAsia="en-GB"/>
              </w:rPr>
            </w:pPr>
            <w:r w:rsidRPr="006E7239">
              <w:rPr>
                <w:rFonts w:eastAsia="Times New Roman" w:cstheme="minorHAnsi"/>
                <w:kern w:val="36"/>
                <w:lang w:eastAsia="en-GB"/>
              </w:rPr>
              <w:t>Student satisfaction for the Disability process</w:t>
            </w:r>
            <w:r>
              <w:rPr>
                <w:rFonts w:eastAsia="Times New Roman" w:cstheme="minorHAnsi"/>
                <w:kern w:val="36"/>
                <w:lang w:eastAsia="en-GB"/>
              </w:rPr>
              <w:t xml:space="preserve"> – see details in report</w:t>
            </w:r>
            <w:r w:rsidRPr="006E7239">
              <w:rPr>
                <w:rFonts w:eastAsia="Times New Roman" w:cstheme="minorHAnsi"/>
                <w:kern w:val="36"/>
                <w:lang w:eastAsia="en-GB"/>
              </w:rPr>
              <w:t>.</w:t>
            </w:r>
          </w:p>
          <w:p w14:paraId="5B462D58" w14:textId="77777777" w:rsidR="00864A37" w:rsidRPr="006E7239" w:rsidRDefault="00864A37" w:rsidP="00864A37">
            <w:pPr>
              <w:pStyle w:val="ListParagraph"/>
              <w:numPr>
                <w:ilvl w:val="0"/>
                <w:numId w:val="25"/>
              </w:numPr>
              <w:spacing w:after="0" w:line="240" w:lineRule="auto"/>
              <w:rPr>
                <w:rFonts w:eastAsia="Times New Roman" w:cstheme="minorHAnsi"/>
                <w:b/>
                <w:bCs/>
                <w:color w:val="003865"/>
                <w:kern w:val="36"/>
                <w:lang w:eastAsia="en-GB"/>
              </w:rPr>
            </w:pPr>
            <w:r w:rsidRPr="006E7239">
              <w:rPr>
                <w:rFonts w:eastAsia="Times New Roman" w:cstheme="minorHAnsi"/>
                <w:kern w:val="36"/>
                <w:lang w:eastAsia="en-GB"/>
              </w:rPr>
              <w:t>Staff evaluation</w:t>
            </w:r>
            <w:r>
              <w:rPr>
                <w:rFonts w:eastAsia="Times New Roman" w:cstheme="minorHAnsi"/>
                <w:kern w:val="36"/>
                <w:lang w:eastAsia="en-GB"/>
              </w:rPr>
              <w:t xml:space="preserve"> and feedback.</w:t>
            </w:r>
          </w:p>
        </w:tc>
      </w:tr>
      <w:tr w:rsidR="00BD4534" w14:paraId="561D3F7E" w14:textId="77777777" w:rsidTr="00716A94">
        <w:trPr>
          <w:tblHeader/>
        </w:trPr>
        <w:tc>
          <w:tcPr>
            <w:tcW w:w="3406" w:type="dxa"/>
            <w:tcBorders>
              <w:top w:val="single" w:sz="4" w:space="0" w:color="FFFFFF" w:themeColor="background1"/>
              <w:bottom w:val="single" w:sz="4" w:space="0" w:color="auto"/>
            </w:tcBorders>
            <w:shd w:val="clear" w:color="auto" w:fill="003865"/>
            <w:vAlign w:val="center"/>
          </w:tcPr>
          <w:p w14:paraId="720E0A57" w14:textId="3BD623CD" w:rsidR="00BD4534" w:rsidRPr="008764C1" w:rsidRDefault="00BD4534" w:rsidP="00BD4534">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4. </w:t>
            </w:r>
            <w:r>
              <w:rPr>
                <w:rFonts w:eastAsia="Times New Roman" w:cstheme="minorHAnsi"/>
                <w:color w:val="FFFFFF" w:themeColor="background1"/>
                <w:kern w:val="36"/>
                <w:lang w:eastAsia="en-GB"/>
              </w:rPr>
              <w:t>Articulate and embed a values-led culture which establishes the expected b</w:t>
            </w:r>
            <w:r w:rsidRPr="008764C1">
              <w:rPr>
                <w:rFonts w:eastAsia="Times New Roman" w:cstheme="minorHAnsi"/>
                <w:color w:val="FFFFFF" w:themeColor="background1"/>
                <w:kern w:val="36"/>
                <w:lang w:eastAsia="en-GB"/>
              </w:rPr>
              <w:t>ehaviours</w:t>
            </w:r>
            <w:r>
              <w:rPr>
                <w:rFonts w:eastAsia="Times New Roman" w:cstheme="minorHAnsi"/>
                <w:color w:val="FFFFFF" w:themeColor="background1"/>
                <w:kern w:val="36"/>
                <w:lang w:eastAsia="en-GB"/>
              </w:rPr>
              <w:t xml:space="preserve"> of students and staff. Work towards an inclusive and respectful culture, which is free from violence, </w:t>
            </w:r>
            <w:r w:rsidRPr="008764C1">
              <w:rPr>
                <w:rFonts w:eastAsia="Times New Roman" w:cstheme="minorHAnsi"/>
                <w:color w:val="FFFFFF" w:themeColor="background1"/>
                <w:kern w:val="36"/>
                <w:lang w:eastAsia="en-GB"/>
              </w:rPr>
              <w:t>harassment,</w:t>
            </w:r>
            <w:r>
              <w:rPr>
                <w:rFonts w:eastAsia="Times New Roman" w:cstheme="minorHAnsi"/>
                <w:color w:val="FFFFFF" w:themeColor="background1"/>
                <w:kern w:val="36"/>
                <w:lang w:eastAsia="en-GB"/>
              </w:rPr>
              <w:t xml:space="preserve"> and bullying.</w:t>
            </w:r>
          </w:p>
        </w:tc>
        <w:tc>
          <w:tcPr>
            <w:tcW w:w="3252" w:type="dxa"/>
            <w:vAlign w:val="center"/>
          </w:tcPr>
          <w:p w14:paraId="212831F0" w14:textId="77777777" w:rsidR="00BD4534" w:rsidRPr="00042687" w:rsidRDefault="00BD4534" w:rsidP="00BD4534">
            <w:pPr>
              <w:pStyle w:val="ListParagraph"/>
              <w:numPr>
                <w:ilvl w:val="0"/>
                <w:numId w:val="22"/>
              </w:numPr>
              <w:spacing w:after="0" w:line="240" w:lineRule="auto"/>
              <w:rPr>
                <w:rFonts w:cstheme="minorHAnsi"/>
              </w:rPr>
            </w:pPr>
            <w:r w:rsidRPr="41FA2996">
              <w:t>Mainstream the Glasgow Professional Behavioural Framework, and rollout and embed the University values.</w:t>
            </w:r>
          </w:p>
          <w:p w14:paraId="1E107C16" w14:textId="77777777" w:rsidR="00BD4534" w:rsidRPr="00042687" w:rsidRDefault="00BD4534" w:rsidP="00BD4534">
            <w:pPr>
              <w:pStyle w:val="ListParagraph"/>
              <w:numPr>
                <w:ilvl w:val="0"/>
                <w:numId w:val="22"/>
              </w:numPr>
              <w:spacing w:after="0" w:line="240" w:lineRule="auto"/>
              <w:rPr>
                <w:rFonts w:cstheme="minorHAnsi"/>
              </w:rPr>
            </w:pPr>
            <w:r w:rsidRPr="41FA2996">
              <w:t>Devise a pre-enrolment material for students which outlines expected behaviours.</w:t>
            </w:r>
          </w:p>
          <w:p w14:paraId="79751ECC" w14:textId="77777777" w:rsidR="00BD4534" w:rsidRPr="00042687" w:rsidRDefault="00BD4534" w:rsidP="00BD4534">
            <w:pPr>
              <w:pStyle w:val="ListParagraph"/>
              <w:numPr>
                <w:ilvl w:val="0"/>
                <w:numId w:val="22"/>
              </w:numPr>
              <w:spacing w:after="0" w:line="240" w:lineRule="auto"/>
              <w:rPr>
                <w:rFonts w:cstheme="minorHAnsi"/>
              </w:rPr>
            </w:pPr>
            <w:r w:rsidRPr="41FA2996">
              <w:t>Review and promote harassment reporting systems for students and staff; devise a case management system to support swift addressing of issues.</w:t>
            </w:r>
          </w:p>
          <w:p w14:paraId="1FAFA9CA" w14:textId="1D2B6AE7" w:rsidR="00BD4534" w:rsidRPr="00F5172B" w:rsidRDefault="00BD4534" w:rsidP="00BD4534">
            <w:pPr>
              <w:pStyle w:val="ListParagraph"/>
              <w:numPr>
                <w:ilvl w:val="0"/>
                <w:numId w:val="22"/>
              </w:numPr>
              <w:spacing w:after="0" w:line="240" w:lineRule="auto"/>
              <w:rPr>
                <w:rFonts w:cstheme="minorHAnsi"/>
              </w:rPr>
            </w:pPr>
            <w:r w:rsidRPr="41FA2996">
              <w:t>Engender an inclusive culture where all types of harassment are unacceptable.</w:t>
            </w:r>
          </w:p>
        </w:tc>
        <w:tc>
          <w:tcPr>
            <w:tcW w:w="4394" w:type="dxa"/>
            <w:vAlign w:val="center"/>
          </w:tcPr>
          <w:p w14:paraId="25B0DDE3" w14:textId="77777777" w:rsidR="00BD4534" w:rsidRPr="009D1B33" w:rsidRDefault="00BD4534" w:rsidP="00BD4534">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Code of Professional Conduct developed and launched.</w:t>
            </w:r>
          </w:p>
          <w:p w14:paraId="0D3D0943" w14:textId="77777777" w:rsidR="00BD4534" w:rsidRPr="009D1B33" w:rsidRDefault="00BD4534" w:rsidP="00BD4534">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Guidance for staff provided when receiving a report of harassment from a student.</w:t>
            </w:r>
          </w:p>
          <w:p w14:paraId="799900DD" w14:textId="77777777" w:rsidR="00BD4534" w:rsidRPr="009D1B33" w:rsidRDefault="00BD4534" w:rsidP="00BD4534">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38 new Respect Advisers recruited and trained.</w:t>
            </w:r>
          </w:p>
          <w:p w14:paraId="7DC320F5" w14:textId="77777777" w:rsidR="00BD4534" w:rsidRPr="009D1B33" w:rsidRDefault="00BD4534" w:rsidP="00BD4534">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Case management system for staff in place and for students in development.</w:t>
            </w:r>
          </w:p>
          <w:p w14:paraId="41D44ED1" w14:textId="77777777" w:rsidR="00BD4534" w:rsidRPr="009D1B33" w:rsidRDefault="00BD4534" w:rsidP="00BD4534">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Roll out of training – bystander interventions, racism.</w:t>
            </w:r>
          </w:p>
          <w:p w14:paraId="31117071" w14:textId="08E06C7D" w:rsidR="00BD4534" w:rsidRPr="00082CDD" w:rsidRDefault="00BD4534" w:rsidP="00BD4534">
            <w:pPr>
              <w:pStyle w:val="ListParagraph"/>
              <w:numPr>
                <w:ilvl w:val="0"/>
                <w:numId w:val="22"/>
              </w:numPr>
              <w:spacing w:after="0" w:line="240" w:lineRule="auto"/>
              <w:rPr>
                <w:rFonts w:cstheme="minorHAnsi"/>
              </w:rPr>
            </w:pPr>
            <w:r w:rsidRPr="41FA2996">
              <w:rPr>
                <w:rFonts w:eastAsia="Times New Roman"/>
                <w:kern w:val="36"/>
                <w:lang w:eastAsia="en-GB"/>
              </w:rPr>
              <w:t>Together Against Racism campaign and resources</w:t>
            </w:r>
          </w:p>
        </w:tc>
        <w:tc>
          <w:tcPr>
            <w:tcW w:w="2896" w:type="dxa"/>
            <w:vAlign w:val="center"/>
          </w:tcPr>
          <w:p w14:paraId="24AEB29B" w14:textId="77777777" w:rsidR="00BD4534" w:rsidRPr="006A115F" w:rsidRDefault="00BD4534" w:rsidP="00BD4534">
            <w:pPr>
              <w:pStyle w:val="ListParagraph"/>
              <w:numPr>
                <w:ilvl w:val="0"/>
                <w:numId w:val="22"/>
              </w:numPr>
              <w:spacing w:after="0" w:line="240" w:lineRule="auto"/>
              <w:rPr>
                <w:rFonts w:cstheme="minorHAnsi"/>
              </w:rPr>
            </w:pPr>
            <w:r w:rsidRPr="41FA2996">
              <w:t>Rollout of pre-enrolment material for students.</w:t>
            </w:r>
          </w:p>
          <w:p w14:paraId="5D06AAD1" w14:textId="77777777" w:rsidR="00BD4534" w:rsidRPr="006A115F" w:rsidRDefault="00BD4534" w:rsidP="00BD4534">
            <w:pPr>
              <w:pStyle w:val="ListParagraph"/>
              <w:numPr>
                <w:ilvl w:val="0"/>
                <w:numId w:val="22"/>
              </w:numPr>
              <w:spacing w:after="0" w:line="240" w:lineRule="auto"/>
              <w:rPr>
                <w:rFonts w:cstheme="minorHAnsi"/>
              </w:rPr>
            </w:pPr>
            <w:r w:rsidRPr="41FA2996">
              <w:t>Revised harassment reporting systems are promoted and known.</w:t>
            </w:r>
          </w:p>
          <w:p w14:paraId="63D3EAD7" w14:textId="77777777" w:rsidR="00BD4534" w:rsidRPr="006A115F" w:rsidRDefault="00BD4534" w:rsidP="00BD4534">
            <w:pPr>
              <w:pStyle w:val="ListParagraph"/>
              <w:numPr>
                <w:ilvl w:val="0"/>
                <w:numId w:val="22"/>
              </w:numPr>
              <w:spacing w:after="0" w:line="240" w:lineRule="auto"/>
              <w:rPr>
                <w:rFonts w:cstheme="minorHAnsi"/>
              </w:rPr>
            </w:pPr>
            <w:r w:rsidRPr="41FA2996">
              <w:t>Behaviours and values are embedded.</w:t>
            </w:r>
          </w:p>
          <w:p w14:paraId="05137286" w14:textId="53E52EEB" w:rsidR="00BD4534" w:rsidRDefault="00BD4534" w:rsidP="00BD4534">
            <w:pPr>
              <w:pStyle w:val="ListParagraph"/>
              <w:numPr>
                <w:ilvl w:val="0"/>
                <w:numId w:val="25"/>
              </w:numPr>
              <w:spacing w:after="0" w:line="240" w:lineRule="auto"/>
              <w:rPr>
                <w:rFonts w:eastAsia="Times New Roman" w:cstheme="minorHAnsi"/>
                <w:kern w:val="36"/>
                <w:lang w:eastAsia="en-GB"/>
              </w:rPr>
            </w:pPr>
            <w:r w:rsidRPr="006A115F">
              <w:rPr>
                <w:rFonts w:cstheme="minorHAnsi"/>
              </w:rPr>
              <w:t xml:space="preserve">Revise D@W&amp;S Policy, </w:t>
            </w:r>
            <w:r>
              <w:rPr>
                <w:rFonts w:cstheme="minorHAnsi"/>
              </w:rPr>
              <w:t>to support an inclusive culture</w:t>
            </w:r>
            <w:r w:rsidRPr="006A115F">
              <w:rPr>
                <w:rFonts w:cstheme="minorHAnsi"/>
              </w:rPr>
              <w:t>.</w:t>
            </w:r>
          </w:p>
        </w:tc>
      </w:tr>
    </w:tbl>
    <w:tbl>
      <w:tblPr>
        <w:tblStyle w:val="TableGrid"/>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440"/>
        <w:gridCol w:w="3218"/>
        <w:gridCol w:w="4394"/>
        <w:gridCol w:w="2896"/>
      </w:tblGrid>
      <w:tr w:rsidR="00C94426" w14:paraId="0D3282C6" w14:textId="77777777" w:rsidTr="004F64DF">
        <w:trPr>
          <w:trHeight w:val="1124"/>
          <w:tblHeader/>
        </w:trPr>
        <w:tc>
          <w:tcPr>
            <w:tcW w:w="3440" w:type="dxa"/>
            <w:tcBorders>
              <w:top w:val="single" w:sz="4" w:space="0" w:color="auto"/>
              <w:bottom w:val="single" w:sz="4" w:space="0" w:color="FFFFFF" w:themeColor="background1"/>
            </w:tcBorders>
            <w:shd w:val="clear" w:color="auto" w:fill="003865"/>
            <w:vAlign w:val="center"/>
          </w:tcPr>
          <w:p w14:paraId="7DD0547F" w14:textId="77777777" w:rsidR="00E72AB2" w:rsidRPr="008764C1" w:rsidRDefault="00E72AB2">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lastRenderedPageBreak/>
              <w:t>5. Learning and teaching is fully inclusive, accessible and promotes a global curriculum which is reflective of our community.</w:t>
            </w:r>
          </w:p>
        </w:tc>
        <w:tc>
          <w:tcPr>
            <w:tcW w:w="3218" w:type="dxa"/>
            <w:vAlign w:val="center"/>
          </w:tcPr>
          <w:p w14:paraId="3C46915C" w14:textId="77777777" w:rsidR="00E72AB2" w:rsidRDefault="00E72AB2" w:rsidP="00E72AB2">
            <w:pPr>
              <w:pStyle w:val="ListParagraph"/>
              <w:numPr>
                <w:ilvl w:val="0"/>
                <w:numId w:val="22"/>
              </w:numPr>
              <w:spacing w:after="0" w:line="240" w:lineRule="auto"/>
              <w:rPr>
                <w:rFonts w:cstheme="minorHAnsi"/>
              </w:rPr>
            </w:pPr>
            <w:r w:rsidRPr="41FA2996">
              <w:t>Support inclusion, through co-creation with our student community.</w:t>
            </w:r>
          </w:p>
          <w:p w14:paraId="7A434EC2" w14:textId="471D7559" w:rsidR="00E72AB2" w:rsidRPr="00C86722" w:rsidRDefault="00E72AB2" w:rsidP="00E72AB2">
            <w:pPr>
              <w:pStyle w:val="ListParagraph"/>
              <w:numPr>
                <w:ilvl w:val="0"/>
                <w:numId w:val="22"/>
              </w:numPr>
              <w:spacing w:after="0" w:line="240" w:lineRule="auto"/>
              <w:rPr>
                <w:rFonts w:cstheme="minorHAnsi"/>
              </w:rPr>
            </w:pPr>
            <w:r w:rsidRPr="41FA2996">
              <w:t>Maximise the data analytics from QlikSense Student Equality Monitoring Tool.</w:t>
            </w:r>
          </w:p>
          <w:p w14:paraId="03316E9A" w14:textId="4533F877" w:rsidR="00E72AB2" w:rsidRPr="00C86722" w:rsidRDefault="00E72AB2" w:rsidP="00E72AB2">
            <w:pPr>
              <w:pStyle w:val="ListParagraph"/>
              <w:numPr>
                <w:ilvl w:val="0"/>
                <w:numId w:val="22"/>
              </w:numPr>
              <w:spacing w:after="0" w:line="240" w:lineRule="auto"/>
              <w:rPr>
                <w:rFonts w:cstheme="minorHAnsi"/>
              </w:rPr>
            </w:pPr>
            <w:r w:rsidRPr="41FA2996">
              <w:t xml:space="preserve">Develop staff to </w:t>
            </w:r>
            <w:r w:rsidR="00D46BD6" w:rsidRPr="41FA2996">
              <w:t>implement</w:t>
            </w:r>
            <w:r w:rsidRPr="41FA2996">
              <w:t xml:space="preserve"> decolonising the curriculum ambitions in URTUC action plan.</w:t>
            </w:r>
          </w:p>
          <w:p w14:paraId="1A6CC2D2" w14:textId="2DB75767" w:rsidR="00E72AB2" w:rsidRPr="00C86722" w:rsidRDefault="00E72AB2" w:rsidP="00E72AB2">
            <w:pPr>
              <w:pStyle w:val="ListParagraph"/>
              <w:numPr>
                <w:ilvl w:val="0"/>
                <w:numId w:val="22"/>
              </w:numPr>
              <w:spacing w:after="0" w:line="240" w:lineRule="auto"/>
              <w:rPr>
                <w:rFonts w:cstheme="minorHAnsi"/>
              </w:rPr>
            </w:pPr>
            <w:r w:rsidRPr="41FA2996">
              <w:t>Mainstream accessibility through continuous review and expansion of the ALIP.</w:t>
            </w:r>
          </w:p>
          <w:p w14:paraId="597AA099" w14:textId="77777777" w:rsidR="00E72AB2" w:rsidRPr="00C86722" w:rsidRDefault="00E72AB2" w:rsidP="00E72AB2">
            <w:pPr>
              <w:pStyle w:val="ListParagraph"/>
              <w:numPr>
                <w:ilvl w:val="0"/>
                <w:numId w:val="22"/>
              </w:numPr>
              <w:spacing w:after="0" w:line="240" w:lineRule="auto"/>
              <w:rPr>
                <w:rFonts w:cstheme="minorHAnsi"/>
              </w:rPr>
            </w:pPr>
            <w:r w:rsidRPr="41FA2996">
              <w:t>Maximise the opportunity for inclusive assessment.</w:t>
            </w:r>
          </w:p>
        </w:tc>
        <w:tc>
          <w:tcPr>
            <w:tcW w:w="4394" w:type="dxa"/>
            <w:vAlign w:val="center"/>
          </w:tcPr>
          <w:p w14:paraId="2BD14E6F" w14:textId="77777777" w:rsidR="00E72AB2" w:rsidRPr="005D6206" w:rsidRDefault="00C94426" w:rsidP="005D6206">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Qliksense tool rolled out to Schools/Services.</w:t>
            </w:r>
          </w:p>
          <w:p w14:paraId="0E027202" w14:textId="7D45C59D" w:rsidR="00C94426" w:rsidRPr="005D6206" w:rsidRDefault="00C94426" w:rsidP="005D6206">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 xml:space="preserve">Decolonising the Curriculum </w:t>
            </w:r>
            <w:r w:rsidR="002E329F" w:rsidRPr="41FA2996">
              <w:rPr>
                <w:rFonts w:eastAsia="Times New Roman"/>
                <w:kern w:val="36"/>
                <w:lang w:eastAsia="en-GB"/>
              </w:rPr>
              <w:t>(D</w:t>
            </w:r>
            <w:r w:rsidR="00C84C58" w:rsidRPr="41FA2996">
              <w:rPr>
                <w:rFonts w:eastAsia="Times New Roman"/>
                <w:kern w:val="36"/>
                <w:lang w:eastAsia="en-GB"/>
              </w:rPr>
              <w:t xml:space="preserve">tC) </w:t>
            </w:r>
            <w:r w:rsidRPr="41FA2996">
              <w:rPr>
                <w:rFonts w:eastAsia="Times New Roman"/>
                <w:kern w:val="36"/>
                <w:lang w:eastAsia="en-GB"/>
              </w:rPr>
              <w:t>Community of Practice established.</w:t>
            </w:r>
          </w:p>
          <w:p w14:paraId="163B9E76" w14:textId="65E777DC" w:rsidR="002E329F" w:rsidRPr="005D6206" w:rsidRDefault="00C84C58" w:rsidP="005D6206">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DtC internships available.</w:t>
            </w:r>
          </w:p>
          <w:p w14:paraId="477E9EA0" w14:textId="77777777" w:rsidR="00C94426" w:rsidRPr="005D6206" w:rsidRDefault="002E329F" w:rsidP="005D6206">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AILP review completed.</w:t>
            </w:r>
          </w:p>
          <w:p w14:paraId="0644D374" w14:textId="0F5FCC34" w:rsidR="00CC1F8E" w:rsidRPr="005D6206" w:rsidRDefault="00CC1F8E" w:rsidP="005D6206">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Inclusive assessment framework agreed.</w:t>
            </w:r>
          </w:p>
          <w:p w14:paraId="127EF6E0" w14:textId="70393047" w:rsidR="002E329F" w:rsidRPr="00C86722" w:rsidRDefault="002E329F">
            <w:pPr>
              <w:rPr>
                <w:rFonts w:eastAsia="Times New Roman" w:cstheme="minorHAnsi"/>
                <w:kern w:val="36"/>
                <w:lang w:eastAsia="en-GB"/>
              </w:rPr>
            </w:pPr>
          </w:p>
        </w:tc>
        <w:tc>
          <w:tcPr>
            <w:tcW w:w="2896" w:type="dxa"/>
            <w:vAlign w:val="center"/>
          </w:tcPr>
          <w:p w14:paraId="2BD1A1A7" w14:textId="77777777" w:rsidR="00E72AB2" w:rsidRDefault="00E72AB2" w:rsidP="00E72AB2">
            <w:pPr>
              <w:pStyle w:val="ListParagraph"/>
              <w:numPr>
                <w:ilvl w:val="0"/>
                <w:numId w:val="22"/>
              </w:numPr>
              <w:spacing w:after="0" w:line="240" w:lineRule="auto"/>
              <w:rPr>
                <w:rFonts w:cstheme="minorHAnsi"/>
              </w:rPr>
            </w:pPr>
            <w:r w:rsidRPr="41FA2996">
              <w:t>QlikSense tool is used to support strategic decision making.</w:t>
            </w:r>
          </w:p>
          <w:p w14:paraId="243358F0" w14:textId="77777777" w:rsidR="00E72AB2" w:rsidRPr="00F875A4" w:rsidRDefault="00E72AB2" w:rsidP="00E72AB2">
            <w:pPr>
              <w:pStyle w:val="ListParagraph"/>
              <w:numPr>
                <w:ilvl w:val="0"/>
                <w:numId w:val="22"/>
              </w:numPr>
              <w:spacing w:after="0" w:line="240" w:lineRule="auto"/>
              <w:rPr>
                <w:rFonts w:cstheme="minorHAnsi"/>
              </w:rPr>
            </w:pPr>
            <w:r w:rsidRPr="41FA2996">
              <w:t xml:space="preserve">Implementation of </w:t>
            </w:r>
            <w:hyperlink r:id="rId24">
              <w:r w:rsidRPr="41FA2996">
                <w:rPr>
                  <w:rStyle w:val="Hyperlink"/>
                </w:rPr>
                <w:t>URTUC action plan</w:t>
              </w:r>
            </w:hyperlink>
            <w:r w:rsidRPr="41FA2996">
              <w:t xml:space="preserve"> in relation to L&amp;T.</w:t>
            </w:r>
          </w:p>
          <w:p w14:paraId="60E7BDC9" w14:textId="77777777" w:rsidR="00E72AB2" w:rsidRPr="00F875A4" w:rsidRDefault="00E72AB2" w:rsidP="00E72AB2">
            <w:pPr>
              <w:pStyle w:val="ListParagraph"/>
              <w:numPr>
                <w:ilvl w:val="0"/>
                <w:numId w:val="22"/>
              </w:numPr>
              <w:spacing w:after="0" w:line="240" w:lineRule="auto"/>
              <w:rPr>
                <w:rFonts w:cstheme="minorHAnsi"/>
              </w:rPr>
            </w:pPr>
            <w:r w:rsidRPr="41FA2996">
              <w:t xml:space="preserve">Implementation of the </w:t>
            </w:r>
            <w:hyperlink r:id="rId25">
              <w:r w:rsidRPr="41FA2996">
                <w:rPr>
                  <w:rStyle w:val="Hyperlink"/>
                </w:rPr>
                <w:t>L&amp;T strategy</w:t>
              </w:r>
            </w:hyperlink>
          </w:p>
          <w:p w14:paraId="3568B69D" w14:textId="77777777" w:rsidR="00E72AB2" w:rsidRPr="00F875A4" w:rsidRDefault="00E72AB2" w:rsidP="00E72AB2">
            <w:pPr>
              <w:pStyle w:val="ListParagraph"/>
              <w:numPr>
                <w:ilvl w:val="0"/>
                <w:numId w:val="22"/>
              </w:numPr>
              <w:spacing w:after="0" w:line="240" w:lineRule="auto"/>
              <w:rPr>
                <w:rFonts w:cstheme="minorHAnsi"/>
              </w:rPr>
            </w:pPr>
            <w:r w:rsidRPr="41FA2996">
              <w:t>Continuous review of the AILP.</w:t>
            </w:r>
          </w:p>
        </w:tc>
      </w:tr>
      <w:tr w:rsidR="0074677F" w14:paraId="59AD3E27" w14:textId="77777777" w:rsidTr="006C075C">
        <w:trPr>
          <w:tblHeader/>
        </w:trPr>
        <w:tc>
          <w:tcPr>
            <w:tcW w:w="3440" w:type="dxa"/>
            <w:tcBorders>
              <w:top w:val="single" w:sz="4" w:space="0" w:color="FFFFFF" w:themeColor="background1"/>
              <w:left w:val="single" w:sz="4" w:space="0" w:color="003865"/>
              <w:bottom w:val="single" w:sz="4" w:space="0" w:color="003865"/>
              <w:right w:val="single" w:sz="4" w:space="0" w:color="003865"/>
            </w:tcBorders>
            <w:shd w:val="clear" w:color="auto" w:fill="003865"/>
            <w:vAlign w:val="center"/>
          </w:tcPr>
          <w:p w14:paraId="4DA73AAA" w14:textId="77777777" w:rsidR="00E72AB2" w:rsidRPr="008764C1" w:rsidRDefault="00E72AB2">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6. To </w:t>
            </w:r>
            <w:r>
              <w:rPr>
                <w:rFonts w:eastAsia="Times New Roman" w:cstheme="minorHAnsi"/>
                <w:color w:val="FFFFFF" w:themeColor="background1"/>
                <w:kern w:val="36"/>
                <w:lang w:eastAsia="en-GB"/>
              </w:rPr>
              <w:t>engender a campus environment where wellbeing is integral, valued and strategically significant.</w:t>
            </w:r>
          </w:p>
        </w:tc>
        <w:tc>
          <w:tcPr>
            <w:tcW w:w="3218" w:type="dxa"/>
            <w:tcBorders>
              <w:left w:val="single" w:sz="4" w:space="0" w:color="003865"/>
            </w:tcBorders>
            <w:vAlign w:val="center"/>
          </w:tcPr>
          <w:p w14:paraId="2382593C" w14:textId="77777777" w:rsidR="00E72AB2" w:rsidRDefault="00E72AB2" w:rsidP="00E72AB2">
            <w:pPr>
              <w:pStyle w:val="ListParagraph"/>
              <w:numPr>
                <w:ilvl w:val="0"/>
                <w:numId w:val="22"/>
              </w:numPr>
              <w:spacing w:after="0" w:line="240" w:lineRule="auto"/>
              <w:rPr>
                <w:rFonts w:cstheme="minorHAnsi"/>
              </w:rPr>
            </w:pPr>
            <w:r w:rsidRPr="41FA2996">
              <w:t>Develop and promote holistic student and staff wellbeing strategies.</w:t>
            </w:r>
          </w:p>
          <w:p w14:paraId="5AA62597" w14:textId="77777777" w:rsidR="00E72AB2" w:rsidRDefault="00E72AB2" w:rsidP="00E72AB2">
            <w:pPr>
              <w:pStyle w:val="ListParagraph"/>
              <w:numPr>
                <w:ilvl w:val="0"/>
                <w:numId w:val="22"/>
              </w:numPr>
              <w:spacing w:after="0" w:line="240" w:lineRule="auto"/>
              <w:rPr>
                <w:rFonts w:cstheme="minorHAnsi"/>
              </w:rPr>
            </w:pPr>
            <w:r w:rsidRPr="41FA2996">
              <w:t>Ensure reactive mental health services are adequately available to the campus community.</w:t>
            </w:r>
          </w:p>
          <w:p w14:paraId="32FD070B" w14:textId="77777777" w:rsidR="00E72AB2" w:rsidRDefault="00E72AB2" w:rsidP="00E72AB2">
            <w:pPr>
              <w:pStyle w:val="ListParagraph"/>
              <w:numPr>
                <w:ilvl w:val="0"/>
                <w:numId w:val="22"/>
              </w:numPr>
              <w:spacing w:after="0" w:line="240" w:lineRule="auto"/>
              <w:rPr>
                <w:rFonts w:cstheme="minorHAnsi"/>
              </w:rPr>
            </w:pPr>
            <w:r w:rsidRPr="41FA2996">
              <w:t>Revise and update the policy framework for students and staff.</w:t>
            </w:r>
          </w:p>
          <w:p w14:paraId="30040E22" w14:textId="77777777" w:rsidR="00E72AB2" w:rsidRPr="00131E8B" w:rsidRDefault="00E72AB2" w:rsidP="00E72AB2">
            <w:pPr>
              <w:pStyle w:val="ListParagraph"/>
              <w:numPr>
                <w:ilvl w:val="0"/>
                <w:numId w:val="22"/>
              </w:numPr>
              <w:spacing w:after="0" w:line="240" w:lineRule="auto"/>
              <w:rPr>
                <w:rFonts w:cstheme="minorHAnsi"/>
              </w:rPr>
            </w:pPr>
            <w:r w:rsidRPr="41FA2996">
              <w:t>Devise a wellbeing campaign linked to the strategies.</w:t>
            </w:r>
          </w:p>
        </w:tc>
        <w:tc>
          <w:tcPr>
            <w:tcW w:w="4394" w:type="dxa"/>
            <w:vAlign w:val="center"/>
          </w:tcPr>
          <w:p w14:paraId="3E80509D" w14:textId="6FA1FB41" w:rsidR="00E72AB2" w:rsidRPr="008046C7" w:rsidRDefault="00D44A80" w:rsidP="008046C7">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 xml:space="preserve">Colleague Wellbeing Strategy articulated through the </w:t>
            </w:r>
            <w:r w:rsidR="0074677F" w:rsidRPr="41FA2996">
              <w:rPr>
                <w:rFonts w:eastAsia="Times New Roman"/>
                <w:kern w:val="36"/>
                <w:lang w:eastAsia="en-GB"/>
              </w:rPr>
              <w:t xml:space="preserve">Health and </w:t>
            </w:r>
            <w:r w:rsidRPr="41FA2996">
              <w:rPr>
                <w:rFonts w:eastAsia="Times New Roman"/>
                <w:kern w:val="36"/>
                <w:lang w:eastAsia="en-GB"/>
              </w:rPr>
              <w:t>Wellbeing Portal</w:t>
            </w:r>
            <w:r w:rsidR="0074677F" w:rsidRPr="41FA2996">
              <w:rPr>
                <w:rFonts w:eastAsia="Times New Roman"/>
                <w:kern w:val="36"/>
                <w:lang w:eastAsia="en-GB"/>
              </w:rPr>
              <w:t xml:space="preserve">; Student Wellbeing Strategy </w:t>
            </w:r>
            <w:r w:rsidR="001E2567" w:rsidRPr="41FA2996">
              <w:rPr>
                <w:rFonts w:eastAsia="Times New Roman"/>
                <w:kern w:val="36"/>
                <w:lang w:eastAsia="en-GB"/>
              </w:rPr>
              <w:t>under review.</w:t>
            </w:r>
          </w:p>
          <w:p w14:paraId="511A00C7" w14:textId="74B92EF3" w:rsidR="001E2567" w:rsidRPr="008046C7" w:rsidRDefault="001E2567" w:rsidP="008046C7">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New EAP – Health Assured.</w:t>
            </w:r>
          </w:p>
          <w:p w14:paraId="7F6C28F6" w14:textId="19E98EE4" w:rsidR="001E2567" w:rsidRPr="008046C7" w:rsidRDefault="001E2567" w:rsidP="008046C7">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24</w:t>
            </w:r>
            <w:r w:rsidR="00D2024A" w:rsidRPr="41FA2996">
              <w:rPr>
                <w:rFonts w:eastAsia="Times New Roman"/>
                <w:kern w:val="36"/>
                <w:lang w:eastAsia="en-GB"/>
              </w:rPr>
              <w:t>hr service for students available.</w:t>
            </w:r>
          </w:p>
          <w:p w14:paraId="2AB969F2" w14:textId="77E476E0" w:rsidR="00D2024A" w:rsidRPr="008046C7" w:rsidRDefault="00D2024A" w:rsidP="008046C7">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Wellbeing services embedded in CAPS.</w:t>
            </w:r>
          </w:p>
          <w:p w14:paraId="3818C04B" w14:textId="3D146607" w:rsidR="00D2024A" w:rsidRPr="008046C7" w:rsidRDefault="00D2024A" w:rsidP="008046C7">
            <w:pPr>
              <w:pStyle w:val="ListParagraph"/>
              <w:numPr>
                <w:ilvl w:val="0"/>
                <w:numId w:val="22"/>
              </w:numPr>
              <w:spacing w:after="0" w:line="240" w:lineRule="auto"/>
              <w:rPr>
                <w:rFonts w:eastAsia="Times New Roman" w:cstheme="minorHAnsi"/>
                <w:kern w:val="36"/>
                <w:lang w:eastAsia="en-GB"/>
              </w:rPr>
            </w:pPr>
            <w:r w:rsidRPr="41FA2996">
              <w:rPr>
                <w:rFonts w:eastAsia="Times New Roman"/>
                <w:kern w:val="36"/>
                <w:lang w:eastAsia="en-GB"/>
              </w:rPr>
              <w:t xml:space="preserve">Waiting times reduced to 15 days. </w:t>
            </w:r>
          </w:p>
          <w:p w14:paraId="76386AB3" w14:textId="73527C88" w:rsidR="001E2567" w:rsidRPr="00C86722" w:rsidRDefault="001E2567">
            <w:pPr>
              <w:rPr>
                <w:rFonts w:eastAsia="Times New Roman" w:cstheme="minorHAnsi"/>
                <w:kern w:val="36"/>
                <w:lang w:eastAsia="en-GB"/>
              </w:rPr>
            </w:pPr>
          </w:p>
        </w:tc>
        <w:tc>
          <w:tcPr>
            <w:tcW w:w="2896" w:type="dxa"/>
            <w:vAlign w:val="center"/>
          </w:tcPr>
          <w:p w14:paraId="6D6245A4" w14:textId="77777777" w:rsidR="00E72AB2" w:rsidRDefault="00E72AB2" w:rsidP="00E72AB2">
            <w:pPr>
              <w:pStyle w:val="ListParagraph"/>
              <w:numPr>
                <w:ilvl w:val="0"/>
                <w:numId w:val="22"/>
              </w:numPr>
              <w:spacing w:after="0" w:line="240" w:lineRule="auto"/>
              <w:rPr>
                <w:rFonts w:cstheme="minorHAnsi"/>
              </w:rPr>
            </w:pPr>
            <w:r w:rsidRPr="41FA2996">
              <w:t>Wellbeing strategies devised and implemented.</w:t>
            </w:r>
          </w:p>
          <w:p w14:paraId="6E16A514" w14:textId="77777777" w:rsidR="00E72AB2" w:rsidRDefault="00E72AB2" w:rsidP="00E72AB2">
            <w:pPr>
              <w:pStyle w:val="ListParagraph"/>
              <w:numPr>
                <w:ilvl w:val="0"/>
                <w:numId w:val="22"/>
              </w:numPr>
              <w:spacing w:after="0" w:line="240" w:lineRule="auto"/>
              <w:rPr>
                <w:rFonts w:cstheme="minorHAnsi"/>
              </w:rPr>
            </w:pPr>
            <w:r w:rsidRPr="41FA2996">
              <w:t>Mental health support is available at point of need or within agreed timeframe.</w:t>
            </w:r>
          </w:p>
          <w:p w14:paraId="75C7DDE2" w14:textId="77777777" w:rsidR="00E72AB2" w:rsidRDefault="00E72AB2" w:rsidP="00E72AB2">
            <w:pPr>
              <w:pStyle w:val="ListParagraph"/>
              <w:numPr>
                <w:ilvl w:val="0"/>
                <w:numId w:val="22"/>
              </w:numPr>
              <w:spacing w:after="0" w:line="240" w:lineRule="auto"/>
              <w:rPr>
                <w:rFonts w:cstheme="minorHAnsi"/>
              </w:rPr>
            </w:pPr>
            <w:r w:rsidRPr="41FA2996">
              <w:t>Policy position is current and relevant.</w:t>
            </w:r>
          </w:p>
          <w:p w14:paraId="0F981D6B" w14:textId="77777777" w:rsidR="00E72AB2" w:rsidRPr="003B4343" w:rsidRDefault="00E72AB2" w:rsidP="00E72AB2">
            <w:pPr>
              <w:pStyle w:val="ListParagraph"/>
              <w:numPr>
                <w:ilvl w:val="0"/>
                <w:numId w:val="22"/>
              </w:numPr>
              <w:spacing w:after="0" w:line="240" w:lineRule="auto"/>
              <w:rPr>
                <w:rFonts w:cstheme="minorHAnsi"/>
              </w:rPr>
            </w:pPr>
            <w:r w:rsidRPr="41FA2996">
              <w:t>Wellbeing campaign launched.</w:t>
            </w:r>
          </w:p>
        </w:tc>
      </w:tr>
    </w:tbl>
    <w:p w14:paraId="3E490B4E" w14:textId="77777777" w:rsidR="00FB595F" w:rsidRPr="00AA2572" w:rsidRDefault="00FB595F">
      <w:pPr>
        <w:rPr>
          <w:rFonts w:cstheme="minorHAnsi"/>
          <w:sz w:val="24"/>
          <w:szCs w:val="24"/>
        </w:rPr>
      </w:pPr>
    </w:p>
    <w:sectPr w:rsidR="00FB595F" w:rsidRPr="00AA2572" w:rsidSect="001B0D1C">
      <w:headerReference w:type="default" r:id="rId26"/>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4433" w14:textId="77777777" w:rsidR="00654B92" w:rsidRDefault="00654B92" w:rsidP="009001DD">
      <w:pPr>
        <w:spacing w:after="0" w:line="240" w:lineRule="auto"/>
      </w:pPr>
      <w:r>
        <w:separator/>
      </w:r>
    </w:p>
  </w:endnote>
  <w:endnote w:type="continuationSeparator" w:id="0">
    <w:p w14:paraId="1D0CA4F7" w14:textId="77777777" w:rsidR="00654B92" w:rsidRDefault="00654B92" w:rsidP="009001DD">
      <w:pPr>
        <w:spacing w:after="0" w:line="240" w:lineRule="auto"/>
      </w:pPr>
      <w:r>
        <w:continuationSeparator/>
      </w:r>
    </w:p>
  </w:endnote>
  <w:endnote w:type="continuationNotice" w:id="1">
    <w:p w14:paraId="5CA8496D" w14:textId="77777777" w:rsidR="00654B92" w:rsidRDefault="00654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16540"/>
      <w:docPartObj>
        <w:docPartGallery w:val="Page Numbers (Bottom of Page)"/>
        <w:docPartUnique/>
      </w:docPartObj>
    </w:sdtPr>
    <w:sdtEndPr>
      <w:rPr>
        <w:noProof/>
      </w:rPr>
    </w:sdtEndPr>
    <w:sdtContent>
      <w:p w14:paraId="0832875F" w14:textId="6B75FA70" w:rsidR="00E14222" w:rsidRDefault="00E14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CB9C9" w14:textId="77777777" w:rsidR="00E14222" w:rsidRDefault="00E1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B8A" w14:textId="77777777" w:rsidR="00654B92" w:rsidRDefault="00654B92" w:rsidP="009001DD">
      <w:pPr>
        <w:spacing w:after="0" w:line="240" w:lineRule="auto"/>
      </w:pPr>
      <w:r>
        <w:separator/>
      </w:r>
    </w:p>
  </w:footnote>
  <w:footnote w:type="continuationSeparator" w:id="0">
    <w:p w14:paraId="01B3146C" w14:textId="77777777" w:rsidR="00654B92" w:rsidRDefault="00654B92" w:rsidP="009001DD">
      <w:pPr>
        <w:spacing w:after="0" w:line="240" w:lineRule="auto"/>
      </w:pPr>
      <w:r>
        <w:continuationSeparator/>
      </w:r>
    </w:p>
  </w:footnote>
  <w:footnote w:type="continuationNotice" w:id="1">
    <w:p w14:paraId="33B97B00" w14:textId="77777777" w:rsidR="00654B92" w:rsidRDefault="00654B92">
      <w:pPr>
        <w:spacing w:after="0" w:line="240" w:lineRule="auto"/>
      </w:pPr>
    </w:p>
  </w:footnote>
  <w:footnote w:id="2">
    <w:p w14:paraId="4D3557E8" w14:textId="7CE8BEC2" w:rsidR="002E5D64" w:rsidRDefault="002E5D64">
      <w:pPr>
        <w:pStyle w:val="FootnoteText"/>
      </w:pPr>
      <w:r>
        <w:rPr>
          <w:rStyle w:val="FootnoteReference"/>
        </w:rPr>
        <w:footnoteRef/>
      </w:r>
      <w:r>
        <w:t xml:space="preserve"> </w:t>
      </w:r>
      <w:hyperlink r:id="rId1" w:history="1">
        <w:r w:rsidR="002D0797" w:rsidRPr="008B5D8A">
          <w:rPr>
            <w:rStyle w:val="Hyperlink"/>
          </w:rPr>
          <w:t>https://www.gla.ac.uk/explore/strategy/</w:t>
        </w:r>
      </w:hyperlink>
      <w:r w:rsidR="002D0797">
        <w:t xml:space="preserve"> </w:t>
      </w:r>
    </w:p>
  </w:footnote>
  <w:footnote w:id="3">
    <w:p w14:paraId="2953008E" w14:textId="77777777" w:rsidR="009001DD" w:rsidRDefault="009001DD" w:rsidP="009001DD">
      <w:pPr>
        <w:pStyle w:val="FootnoteText"/>
      </w:pPr>
      <w:r>
        <w:rPr>
          <w:rStyle w:val="FootnoteReference"/>
        </w:rPr>
        <w:footnoteRef/>
      </w:r>
      <w:r>
        <w:t xml:space="preserve"> </w:t>
      </w:r>
      <w:r w:rsidRPr="0047007C">
        <w:t>40% men, 40% women, 20% either</w:t>
      </w:r>
    </w:p>
  </w:footnote>
  <w:footnote w:id="4">
    <w:p w14:paraId="22EF8EE5" w14:textId="7242452A" w:rsidR="00F76794" w:rsidRDefault="00F76794">
      <w:pPr>
        <w:pStyle w:val="FootnoteText"/>
      </w:pPr>
      <w:r>
        <w:rPr>
          <w:rStyle w:val="FootnoteReference"/>
        </w:rPr>
        <w:footnoteRef/>
      </w:r>
      <w:r>
        <w:t xml:space="preserve"> </w:t>
      </w:r>
      <w:hyperlink r:id="rId2" w:history="1">
        <w:r w:rsidR="007B4A42" w:rsidRPr="001D7EE2">
          <w:rPr>
            <w:rStyle w:val="Hyperlink"/>
          </w:rPr>
          <w:t>https://www.universitiesuk.ac.uk/what-we-do/policy-and-research/publications/tackling-islamophobia-and-anti-muslim</w:t>
        </w:r>
      </w:hyperlink>
      <w:r w:rsidR="007B4A42">
        <w:t xml:space="preserve"> </w:t>
      </w:r>
    </w:p>
  </w:footnote>
  <w:footnote w:id="5">
    <w:p w14:paraId="6003EC69" w14:textId="08C67529" w:rsidR="007B4A42" w:rsidRDefault="007B4A42">
      <w:pPr>
        <w:pStyle w:val="FootnoteText"/>
      </w:pPr>
      <w:r>
        <w:rPr>
          <w:rStyle w:val="FootnoteReference"/>
        </w:rPr>
        <w:footnoteRef/>
      </w:r>
      <w:r>
        <w:t xml:space="preserve"> </w:t>
      </w:r>
      <w:hyperlink r:id="rId3" w:history="1">
        <w:r w:rsidRPr="001D7EE2">
          <w:rPr>
            <w:rStyle w:val="Hyperlink"/>
          </w:rPr>
          <w:t>https://www.universitiesuk.ac.uk/what-we-do/policy-and-research/publications/tackling-antisemitism-practical-guidance</w:t>
        </w:r>
      </w:hyperlink>
      <w:r>
        <w:t xml:space="preserve"> </w:t>
      </w:r>
    </w:p>
  </w:footnote>
  <w:footnote w:id="6">
    <w:p w14:paraId="6F57C924" w14:textId="3E4348CD" w:rsidR="000A3349" w:rsidRPr="000A3349" w:rsidRDefault="000A3349" w:rsidP="00457D28">
      <w:pPr>
        <w:pStyle w:val="FootnoteText"/>
      </w:pPr>
      <w:r>
        <w:rPr>
          <w:rStyle w:val="FootnoteReference"/>
        </w:rPr>
        <w:footnoteRef/>
      </w:r>
      <w:r>
        <w:t xml:space="preserve"> </w:t>
      </w:r>
      <w:r w:rsidR="00457D28">
        <w:t>We</w:t>
      </w:r>
      <w:r w:rsidRPr="000A3349">
        <w:t xml:space="preserve"> have used the acronym ‘BAME’, (Black, Asian and Minority Ethnic) to denote those social groups who have been subject to historic and contemporaneous forms of racism and exclusion.  </w:t>
      </w:r>
      <w:r w:rsidR="00457D28">
        <w:t>We</w:t>
      </w:r>
      <w:r w:rsidRPr="000A3349">
        <w:t xml:space="preserve"> are attentive to the fact that such aggregate forms of conceptualisation are not ideal and can sometimes mask important differences between groups.  However, gaps in the declared data currently prohibit further breakdown into separate ethnic groupings.   </w:t>
      </w:r>
    </w:p>
    <w:p w14:paraId="1B32D695" w14:textId="15CC6138" w:rsidR="000A3349" w:rsidRDefault="000A33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37A0" w14:textId="77777777" w:rsidR="001B0D1C" w:rsidRPr="00626602" w:rsidRDefault="001B0D1C" w:rsidP="001B0D1C">
    <w:pPr>
      <w:rPr>
        <w:b/>
        <w:bCs/>
        <w:sz w:val="28"/>
        <w:szCs w:val="28"/>
      </w:rPr>
    </w:pPr>
    <w:r w:rsidRPr="00626602">
      <w:rPr>
        <w:b/>
        <w:bCs/>
        <w:sz w:val="28"/>
        <w:szCs w:val="28"/>
      </w:rPr>
      <w:t>Equality Outcomes – 2021-2025 Progress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7AB"/>
    <w:multiLevelType w:val="hybridMultilevel"/>
    <w:tmpl w:val="1358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A87"/>
    <w:multiLevelType w:val="hybridMultilevel"/>
    <w:tmpl w:val="3506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BBD"/>
    <w:multiLevelType w:val="hybridMultilevel"/>
    <w:tmpl w:val="C76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20655"/>
    <w:multiLevelType w:val="hybridMultilevel"/>
    <w:tmpl w:val="281E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D83"/>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0634B"/>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02D86"/>
    <w:multiLevelType w:val="hybridMultilevel"/>
    <w:tmpl w:val="4E02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73862"/>
    <w:multiLevelType w:val="multilevel"/>
    <w:tmpl w:val="787C912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61131"/>
    <w:multiLevelType w:val="hybridMultilevel"/>
    <w:tmpl w:val="58D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E286D"/>
    <w:multiLevelType w:val="hybridMultilevel"/>
    <w:tmpl w:val="286E8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E611C7"/>
    <w:multiLevelType w:val="hybridMultilevel"/>
    <w:tmpl w:val="24F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0687D"/>
    <w:multiLevelType w:val="hybridMultilevel"/>
    <w:tmpl w:val="8FB81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B66C3"/>
    <w:multiLevelType w:val="hybridMultilevel"/>
    <w:tmpl w:val="34EE13FA"/>
    <w:lvl w:ilvl="0" w:tplc="08090001">
      <w:start w:val="1"/>
      <w:numFmt w:val="bullet"/>
      <w:lvlText w:val=""/>
      <w:lvlJc w:val="left"/>
      <w:pPr>
        <w:ind w:left="720" w:hanging="360"/>
      </w:pPr>
      <w:rPr>
        <w:rFonts w:ascii="Symbol" w:hAnsi="Symbol" w:hint="default"/>
      </w:rPr>
    </w:lvl>
    <w:lvl w:ilvl="1" w:tplc="A9E685C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80038"/>
    <w:multiLevelType w:val="hybridMultilevel"/>
    <w:tmpl w:val="56B4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6C95CA7"/>
    <w:multiLevelType w:val="hybridMultilevel"/>
    <w:tmpl w:val="67F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30EB5"/>
    <w:multiLevelType w:val="hybridMultilevel"/>
    <w:tmpl w:val="AEAC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1FBB"/>
    <w:multiLevelType w:val="hybridMultilevel"/>
    <w:tmpl w:val="A846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46EBB"/>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0583F"/>
    <w:multiLevelType w:val="hybridMultilevel"/>
    <w:tmpl w:val="767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3028B"/>
    <w:multiLevelType w:val="hybridMultilevel"/>
    <w:tmpl w:val="C6984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F44414"/>
    <w:multiLevelType w:val="hybridMultilevel"/>
    <w:tmpl w:val="057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E1F03"/>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C22AA6"/>
    <w:multiLevelType w:val="hybridMultilevel"/>
    <w:tmpl w:val="99DC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4384CE7"/>
    <w:multiLevelType w:val="hybridMultilevel"/>
    <w:tmpl w:val="E064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2F38BA"/>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C75FB2"/>
    <w:multiLevelType w:val="multilevel"/>
    <w:tmpl w:val="EAE28F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554817">
    <w:abstractNumId w:val="6"/>
  </w:num>
  <w:num w:numId="2" w16cid:durableId="1735279345">
    <w:abstractNumId w:val="10"/>
  </w:num>
  <w:num w:numId="3" w16cid:durableId="1576276382">
    <w:abstractNumId w:val="3"/>
  </w:num>
  <w:num w:numId="4" w16cid:durableId="1633711284">
    <w:abstractNumId w:val="23"/>
  </w:num>
  <w:num w:numId="5" w16cid:durableId="1240334497">
    <w:abstractNumId w:val="11"/>
  </w:num>
  <w:num w:numId="6" w16cid:durableId="1128936316">
    <w:abstractNumId w:val="7"/>
  </w:num>
  <w:num w:numId="7" w16cid:durableId="1119882577">
    <w:abstractNumId w:val="25"/>
  </w:num>
  <w:num w:numId="8" w16cid:durableId="339089765">
    <w:abstractNumId w:val="4"/>
  </w:num>
  <w:num w:numId="9" w16cid:durableId="1436241952">
    <w:abstractNumId w:val="17"/>
  </w:num>
  <w:num w:numId="10" w16cid:durableId="1762409253">
    <w:abstractNumId w:val="21"/>
  </w:num>
  <w:num w:numId="11" w16cid:durableId="469589918">
    <w:abstractNumId w:val="24"/>
  </w:num>
  <w:num w:numId="12" w16cid:durableId="1270239960">
    <w:abstractNumId w:val="5"/>
  </w:num>
  <w:num w:numId="13" w16cid:durableId="711883623">
    <w:abstractNumId w:val="12"/>
  </w:num>
  <w:num w:numId="14" w16cid:durableId="1061294072">
    <w:abstractNumId w:val="16"/>
  </w:num>
  <w:num w:numId="15" w16cid:durableId="916865059">
    <w:abstractNumId w:val="20"/>
  </w:num>
  <w:num w:numId="16" w16cid:durableId="2135561273">
    <w:abstractNumId w:val="2"/>
  </w:num>
  <w:num w:numId="17" w16cid:durableId="826020303">
    <w:abstractNumId w:val="18"/>
  </w:num>
  <w:num w:numId="18" w16cid:durableId="317077343">
    <w:abstractNumId w:val="1"/>
  </w:num>
  <w:num w:numId="19" w16cid:durableId="1708488829">
    <w:abstractNumId w:val="8"/>
  </w:num>
  <w:num w:numId="20" w16cid:durableId="370961273">
    <w:abstractNumId w:val="14"/>
  </w:num>
  <w:num w:numId="21" w16cid:durableId="2140176087">
    <w:abstractNumId w:val="15"/>
  </w:num>
  <w:num w:numId="22" w16cid:durableId="1691956410">
    <w:abstractNumId w:val="19"/>
  </w:num>
  <w:num w:numId="23" w16cid:durableId="1136530712">
    <w:abstractNumId w:val="9"/>
  </w:num>
  <w:num w:numId="24" w16cid:durableId="1707099219">
    <w:abstractNumId w:val="22"/>
  </w:num>
  <w:num w:numId="25" w16cid:durableId="1744451225">
    <w:abstractNumId w:val="13"/>
  </w:num>
  <w:num w:numId="26" w16cid:durableId="97348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2"/>
    <w:rsid w:val="00001996"/>
    <w:rsid w:val="00001E2B"/>
    <w:rsid w:val="00004179"/>
    <w:rsid w:val="000057C9"/>
    <w:rsid w:val="00007019"/>
    <w:rsid w:val="00007BF6"/>
    <w:rsid w:val="00010054"/>
    <w:rsid w:val="00010C38"/>
    <w:rsid w:val="0001103D"/>
    <w:rsid w:val="000119D7"/>
    <w:rsid w:val="00015860"/>
    <w:rsid w:val="0001627F"/>
    <w:rsid w:val="00023463"/>
    <w:rsid w:val="00025D1C"/>
    <w:rsid w:val="00044522"/>
    <w:rsid w:val="0004558A"/>
    <w:rsid w:val="00045752"/>
    <w:rsid w:val="00045F0F"/>
    <w:rsid w:val="0005216D"/>
    <w:rsid w:val="0005244C"/>
    <w:rsid w:val="0006292D"/>
    <w:rsid w:val="00071E30"/>
    <w:rsid w:val="000725C4"/>
    <w:rsid w:val="00073C41"/>
    <w:rsid w:val="00077500"/>
    <w:rsid w:val="00080276"/>
    <w:rsid w:val="00080825"/>
    <w:rsid w:val="00082CDD"/>
    <w:rsid w:val="00082F39"/>
    <w:rsid w:val="00093920"/>
    <w:rsid w:val="0009711B"/>
    <w:rsid w:val="000A05BB"/>
    <w:rsid w:val="000A1193"/>
    <w:rsid w:val="000A216A"/>
    <w:rsid w:val="000A3349"/>
    <w:rsid w:val="000A7DEE"/>
    <w:rsid w:val="000B18F7"/>
    <w:rsid w:val="000B33AE"/>
    <w:rsid w:val="000B4514"/>
    <w:rsid w:val="000B5FE3"/>
    <w:rsid w:val="000C11CE"/>
    <w:rsid w:val="000C2562"/>
    <w:rsid w:val="000C3F05"/>
    <w:rsid w:val="000D1E26"/>
    <w:rsid w:val="000D318D"/>
    <w:rsid w:val="000D7785"/>
    <w:rsid w:val="000E0A76"/>
    <w:rsid w:val="000E29E9"/>
    <w:rsid w:val="000F1B9C"/>
    <w:rsid w:val="00103D05"/>
    <w:rsid w:val="001045DE"/>
    <w:rsid w:val="001053A8"/>
    <w:rsid w:val="001053AB"/>
    <w:rsid w:val="00112D55"/>
    <w:rsid w:val="00117213"/>
    <w:rsid w:val="001204AE"/>
    <w:rsid w:val="0012371B"/>
    <w:rsid w:val="00123C5D"/>
    <w:rsid w:val="00124429"/>
    <w:rsid w:val="00131EAB"/>
    <w:rsid w:val="0013271D"/>
    <w:rsid w:val="0013313F"/>
    <w:rsid w:val="001406EB"/>
    <w:rsid w:val="00140A6E"/>
    <w:rsid w:val="001440B7"/>
    <w:rsid w:val="0014414D"/>
    <w:rsid w:val="0015012B"/>
    <w:rsid w:val="001535F3"/>
    <w:rsid w:val="001535FB"/>
    <w:rsid w:val="00154164"/>
    <w:rsid w:val="00155991"/>
    <w:rsid w:val="00156521"/>
    <w:rsid w:val="001612E7"/>
    <w:rsid w:val="00161612"/>
    <w:rsid w:val="0016182D"/>
    <w:rsid w:val="001645FA"/>
    <w:rsid w:val="00164EB2"/>
    <w:rsid w:val="00167919"/>
    <w:rsid w:val="00172B44"/>
    <w:rsid w:val="00172C93"/>
    <w:rsid w:val="00173548"/>
    <w:rsid w:val="00176DDD"/>
    <w:rsid w:val="00181D49"/>
    <w:rsid w:val="00193A73"/>
    <w:rsid w:val="00193A8B"/>
    <w:rsid w:val="00193BB2"/>
    <w:rsid w:val="001A142E"/>
    <w:rsid w:val="001A1A65"/>
    <w:rsid w:val="001A4266"/>
    <w:rsid w:val="001A44D4"/>
    <w:rsid w:val="001A48DE"/>
    <w:rsid w:val="001B0D1C"/>
    <w:rsid w:val="001B473E"/>
    <w:rsid w:val="001B4AFC"/>
    <w:rsid w:val="001B564F"/>
    <w:rsid w:val="001B6E9E"/>
    <w:rsid w:val="001C0602"/>
    <w:rsid w:val="001C3CEF"/>
    <w:rsid w:val="001C52FA"/>
    <w:rsid w:val="001E17CD"/>
    <w:rsid w:val="001E2567"/>
    <w:rsid w:val="001F0BB4"/>
    <w:rsid w:val="001F45E0"/>
    <w:rsid w:val="001F5714"/>
    <w:rsid w:val="001F6130"/>
    <w:rsid w:val="002012EA"/>
    <w:rsid w:val="00201D9B"/>
    <w:rsid w:val="0020234F"/>
    <w:rsid w:val="0020546E"/>
    <w:rsid w:val="00211983"/>
    <w:rsid w:val="00214B08"/>
    <w:rsid w:val="00214E0B"/>
    <w:rsid w:val="00221C08"/>
    <w:rsid w:val="002252DE"/>
    <w:rsid w:val="002275A7"/>
    <w:rsid w:val="0023115D"/>
    <w:rsid w:val="00233884"/>
    <w:rsid w:val="002355B2"/>
    <w:rsid w:val="00237ADC"/>
    <w:rsid w:val="0024305F"/>
    <w:rsid w:val="002443B9"/>
    <w:rsid w:val="00244CCB"/>
    <w:rsid w:val="00246A25"/>
    <w:rsid w:val="00246F88"/>
    <w:rsid w:val="002535CB"/>
    <w:rsid w:val="00260378"/>
    <w:rsid w:val="00264B09"/>
    <w:rsid w:val="00271444"/>
    <w:rsid w:val="00274E03"/>
    <w:rsid w:val="00275CDB"/>
    <w:rsid w:val="002769F9"/>
    <w:rsid w:val="00281DD1"/>
    <w:rsid w:val="002828CE"/>
    <w:rsid w:val="0028737F"/>
    <w:rsid w:val="0028791A"/>
    <w:rsid w:val="00290FF0"/>
    <w:rsid w:val="00291103"/>
    <w:rsid w:val="00291501"/>
    <w:rsid w:val="00295463"/>
    <w:rsid w:val="002958CE"/>
    <w:rsid w:val="002A6EF9"/>
    <w:rsid w:val="002B12FB"/>
    <w:rsid w:val="002B1AE7"/>
    <w:rsid w:val="002B449B"/>
    <w:rsid w:val="002C6519"/>
    <w:rsid w:val="002C70BD"/>
    <w:rsid w:val="002D0096"/>
    <w:rsid w:val="002D0797"/>
    <w:rsid w:val="002D16E7"/>
    <w:rsid w:val="002D1CCB"/>
    <w:rsid w:val="002D341F"/>
    <w:rsid w:val="002D4E7C"/>
    <w:rsid w:val="002D5870"/>
    <w:rsid w:val="002E062E"/>
    <w:rsid w:val="002E329F"/>
    <w:rsid w:val="002E42D3"/>
    <w:rsid w:val="002E5D64"/>
    <w:rsid w:val="002F0AA2"/>
    <w:rsid w:val="002F6ACA"/>
    <w:rsid w:val="002F6B0E"/>
    <w:rsid w:val="002F7AD2"/>
    <w:rsid w:val="00301517"/>
    <w:rsid w:val="003023A8"/>
    <w:rsid w:val="0030621C"/>
    <w:rsid w:val="003068B5"/>
    <w:rsid w:val="00315276"/>
    <w:rsid w:val="0032067D"/>
    <w:rsid w:val="0032186B"/>
    <w:rsid w:val="00323AFB"/>
    <w:rsid w:val="0032642D"/>
    <w:rsid w:val="00326BFB"/>
    <w:rsid w:val="00326D30"/>
    <w:rsid w:val="0033508E"/>
    <w:rsid w:val="0034190E"/>
    <w:rsid w:val="003434E3"/>
    <w:rsid w:val="0034523B"/>
    <w:rsid w:val="00346D5E"/>
    <w:rsid w:val="00347D07"/>
    <w:rsid w:val="003637F6"/>
    <w:rsid w:val="003656FE"/>
    <w:rsid w:val="00365F8D"/>
    <w:rsid w:val="003678EA"/>
    <w:rsid w:val="0037049D"/>
    <w:rsid w:val="00371DD6"/>
    <w:rsid w:val="00380FF4"/>
    <w:rsid w:val="00384498"/>
    <w:rsid w:val="00384AA6"/>
    <w:rsid w:val="00391CEC"/>
    <w:rsid w:val="00392103"/>
    <w:rsid w:val="00393AB5"/>
    <w:rsid w:val="00397AC9"/>
    <w:rsid w:val="003A23FC"/>
    <w:rsid w:val="003A4D11"/>
    <w:rsid w:val="003A4E3C"/>
    <w:rsid w:val="003A6859"/>
    <w:rsid w:val="003B3CC2"/>
    <w:rsid w:val="003B73E4"/>
    <w:rsid w:val="003B78C8"/>
    <w:rsid w:val="003C2B09"/>
    <w:rsid w:val="003C6CFC"/>
    <w:rsid w:val="003C7D80"/>
    <w:rsid w:val="003D07E0"/>
    <w:rsid w:val="003D2170"/>
    <w:rsid w:val="003D2311"/>
    <w:rsid w:val="003D326C"/>
    <w:rsid w:val="003D399E"/>
    <w:rsid w:val="003E6FD1"/>
    <w:rsid w:val="003F2996"/>
    <w:rsid w:val="003F36B4"/>
    <w:rsid w:val="003F7FAC"/>
    <w:rsid w:val="00400F78"/>
    <w:rsid w:val="004038A8"/>
    <w:rsid w:val="00410E57"/>
    <w:rsid w:val="004139DA"/>
    <w:rsid w:val="00420CFB"/>
    <w:rsid w:val="004223B8"/>
    <w:rsid w:val="004248E7"/>
    <w:rsid w:val="0042508C"/>
    <w:rsid w:val="00425103"/>
    <w:rsid w:val="004256F5"/>
    <w:rsid w:val="00431C68"/>
    <w:rsid w:val="004333CD"/>
    <w:rsid w:val="0044085F"/>
    <w:rsid w:val="00445884"/>
    <w:rsid w:val="00447608"/>
    <w:rsid w:val="00454405"/>
    <w:rsid w:val="00457709"/>
    <w:rsid w:val="00457C85"/>
    <w:rsid w:val="00457D28"/>
    <w:rsid w:val="00464E0D"/>
    <w:rsid w:val="00464FA2"/>
    <w:rsid w:val="00467A3B"/>
    <w:rsid w:val="00472886"/>
    <w:rsid w:val="00474B2B"/>
    <w:rsid w:val="00482AAA"/>
    <w:rsid w:val="00483E58"/>
    <w:rsid w:val="004867E0"/>
    <w:rsid w:val="00491769"/>
    <w:rsid w:val="00492659"/>
    <w:rsid w:val="004954CE"/>
    <w:rsid w:val="0049561D"/>
    <w:rsid w:val="0049628C"/>
    <w:rsid w:val="004975B6"/>
    <w:rsid w:val="004A4E9F"/>
    <w:rsid w:val="004A61BD"/>
    <w:rsid w:val="004B3F42"/>
    <w:rsid w:val="004C13A2"/>
    <w:rsid w:val="004C1D7D"/>
    <w:rsid w:val="004C50A7"/>
    <w:rsid w:val="004D0FA9"/>
    <w:rsid w:val="004D1203"/>
    <w:rsid w:val="004E2A86"/>
    <w:rsid w:val="004E64D4"/>
    <w:rsid w:val="004E6A0B"/>
    <w:rsid w:val="004F0FE5"/>
    <w:rsid w:val="004F186A"/>
    <w:rsid w:val="004F64DF"/>
    <w:rsid w:val="004F67EB"/>
    <w:rsid w:val="004F7C0C"/>
    <w:rsid w:val="00501ABD"/>
    <w:rsid w:val="00514864"/>
    <w:rsid w:val="00514A0E"/>
    <w:rsid w:val="00515117"/>
    <w:rsid w:val="00523A4B"/>
    <w:rsid w:val="00524690"/>
    <w:rsid w:val="00533446"/>
    <w:rsid w:val="0054310F"/>
    <w:rsid w:val="0054404C"/>
    <w:rsid w:val="0054492B"/>
    <w:rsid w:val="0054616E"/>
    <w:rsid w:val="00547525"/>
    <w:rsid w:val="00547866"/>
    <w:rsid w:val="00550F4C"/>
    <w:rsid w:val="00553BFD"/>
    <w:rsid w:val="00554B3F"/>
    <w:rsid w:val="00554B56"/>
    <w:rsid w:val="00567A76"/>
    <w:rsid w:val="00574797"/>
    <w:rsid w:val="00575FF9"/>
    <w:rsid w:val="00590364"/>
    <w:rsid w:val="00591ACB"/>
    <w:rsid w:val="005A1053"/>
    <w:rsid w:val="005B1EF8"/>
    <w:rsid w:val="005B459B"/>
    <w:rsid w:val="005B7578"/>
    <w:rsid w:val="005B77F8"/>
    <w:rsid w:val="005C37B3"/>
    <w:rsid w:val="005C6B9E"/>
    <w:rsid w:val="005C7B03"/>
    <w:rsid w:val="005D6206"/>
    <w:rsid w:val="005D7929"/>
    <w:rsid w:val="005D7AAC"/>
    <w:rsid w:val="005E07B6"/>
    <w:rsid w:val="005E1AF1"/>
    <w:rsid w:val="005E1DE2"/>
    <w:rsid w:val="005E30CA"/>
    <w:rsid w:val="005E6C81"/>
    <w:rsid w:val="005F476A"/>
    <w:rsid w:val="006024CB"/>
    <w:rsid w:val="00602BF3"/>
    <w:rsid w:val="006039C0"/>
    <w:rsid w:val="00606830"/>
    <w:rsid w:val="00616C43"/>
    <w:rsid w:val="00617B1D"/>
    <w:rsid w:val="006213BB"/>
    <w:rsid w:val="0062311F"/>
    <w:rsid w:val="00623E00"/>
    <w:rsid w:val="00624108"/>
    <w:rsid w:val="00625D15"/>
    <w:rsid w:val="00626602"/>
    <w:rsid w:val="00627CFE"/>
    <w:rsid w:val="00641B74"/>
    <w:rsid w:val="00644281"/>
    <w:rsid w:val="00645FFC"/>
    <w:rsid w:val="00651FCC"/>
    <w:rsid w:val="00653714"/>
    <w:rsid w:val="00654B92"/>
    <w:rsid w:val="0065770E"/>
    <w:rsid w:val="006616C8"/>
    <w:rsid w:val="00670A95"/>
    <w:rsid w:val="006716B7"/>
    <w:rsid w:val="00675559"/>
    <w:rsid w:val="006805FB"/>
    <w:rsid w:val="00684983"/>
    <w:rsid w:val="00690A34"/>
    <w:rsid w:val="00694DD2"/>
    <w:rsid w:val="00696124"/>
    <w:rsid w:val="006A47CE"/>
    <w:rsid w:val="006A5926"/>
    <w:rsid w:val="006A6E1C"/>
    <w:rsid w:val="006A7C8B"/>
    <w:rsid w:val="006B0192"/>
    <w:rsid w:val="006B0C5D"/>
    <w:rsid w:val="006B0F36"/>
    <w:rsid w:val="006B6BC5"/>
    <w:rsid w:val="006B7037"/>
    <w:rsid w:val="006C075C"/>
    <w:rsid w:val="006C0ACE"/>
    <w:rsid w:val="006C4D4B"/>
    <w:rsid w:val="006C7CF5"/>
    <w:rsid w:val="006D0589"/>
    <w:rsid w:val="006D1F90"/>
    <w:rsid w:val="006D6177"/>
    <w:rsid w:val="006D621E"/>
    <w:rsid w:val="006D7463"/>
    <w:rsid w:val="006D754C"/>
    <w:rsid w:val="006E3379"/>
    <w:rsid w:val="006E56B5"/>
    <w:rsid w:val="006E6A59"/>
    <w:rsid w:val="006F2732"/>
    <w:rsid w:val="006F5DBE"/>
    <w:rsid w:val="007005C4"/>
    <w:rsid w:val="00703567"/>
    <w:rsid w:val="00704474"/>
    <w:rsid w:val="0071035C"/>
    <w:rsid w:val="00711857"/>
    <w:rsid w:val="007119F6"/>
    <w:rsid w:val="00716A94"/>
    <w:rsid w:val="00724C92"/>
    <w:rsid w:val="0073045F"/>
    <w:rsid w:val="00732060"/>
    <w:rsid w:val="00740715"/>
    <w:rsid w:val="00740EBE"/>
    <w:rsid w:val="0074677F"/>
    <w:rsid w:val="00747417"/>
    <w:rsid w:val="00751A63"/>
    <w:rsid w:val="00756927"/>
    <w:rsid w:val="007571FB"/>
    <w:rsid w:val="0076300D"/>
    <w:rsid w:val="007630A2"/>
    <w:rsid w:val="00763441"/>
    <w:rsid w:val="0076642E"/>
    <w:rsid w:val="007740E7"/>
    <w:rsid w:val="00775FAA"/>
    <w:rsid w:val="00777AC8"/>
    <w:rsid w:val="00777EDF"/>
    <w:rsid w:val="00782087"/>
    <w:rsid w:val="00783B59"/>
    <w:rsid w:val="00785247"/>
    <w:rsid w:val="00785F96"/>
    <w:rsid w:val="00786A4B"/>
    <w:rsid w:val="00787912"/>
    <w:rsid w:val="007906B6"/>
    <w:rsid w:val="00790EA0"/>
    <w:rsid w:val="00791271"/>
    <w:rsid w:val="007932C7"/>
    <w:rsid w:val="00793F72"/>
    <w:rsid w:val="007966EB"/>
    <w:rsid w:val="007A017F"/>
    <w:rsid w:val="007A29B4"/>
    <w:rsid w:val="007B1FFB"/>
    <w:rsid w:val="007B4A42"/>
    <w:rsid w:val="007B63E8"/>
    <w:rsid w:val="007B6980"/>
    <w:rsid w:val="007B7ADA"/>
    <w:rsid w:val="007C2942"/>
    <w:rsid w:val="007C5A42"/>
    <w:rsid w:val="007C6A4B"/>
    <w:rsid w:val="007D7889"/>
    <w:rsid w:val="007E242B"/>
    <w:rsid w:val="007E769A"/>
    <w:rsid w:val="007F0561"/>
    <w:rsid w:val="007F07B3"/>
    <w:rsid w:val="007F16AE"/>
    <w:rsid w:val="007F60B4"/>
    <w:rsid w:val="007F7FB9"/>
    <w:rsid w:val="007F7FFD"/>
    <w:rsid w:val="00804077"/>
    <w:rsid w:val="0080467C"/>
    <w:rsid w:val="008046C7"/>
    <w:rsid w:val="00811B4D"/>
    <w:rsid w:val="0081660F"/>
    <w:rsid w:val="00823352"/>
    <w:rsid w:val="00823AE2"/>
    <w:rsid w:val="00824048"/>
    <w:rsid w:val="00825463"/>
    <w:rsid w:val="00832E96"/>
    <w:rsid w:val="00833614"/>
    <w:rsid w:val="00836513"/>
    <w:rsid w:val="008409BF"/>
    <w:rsid w:val="008410A7"/>
    <w:rsid w:val="00841EA4"/>
    <w:rsid w:val="00846226"/>
    <w:rsid w:val="0084788D"/>
    <w:rsid w:val="00847D79"/>
    <w:rsid w:val="008516E9"/>
    <w:rsid w:val="008523E7"/>
    <w:rsid w:val="00857040"/>
    <w:rsid w:val="0086367F"/>
    <w:rsid w:val="0086497A"/>
    <w:rsid w:val="00864A37"/>
    <w:rsid w:val="008715A5"/>
    <w:rsid w:val="00876A20"/>
    <w:rsid w:val="00881E16"/>
    <w:rsid w:val="00887F0C"/>
    <w:rsid w:val="00892396"/>
    <w:rsid w:val="00892CDD"/>
    <w:rsid w:val="00893C3A"/>
    <w:rsid w:val="00895941"/>
    <w:rsid w:val="008A0AFF"/>
    <w:rsid w:val="008A183F"/>
    <w:rsid w:val="008A1BE2"/>
    <w:rsid w:val="008A284F"/>
    <w:rsid w:val="008A312E"/>
    <w:rsid w:val="008A3D50"/>
    <w:rsid w:val="008A4D93"/>
    <w:rsid w:val="008A6078"/>
    <w:rsid w:val="008A6C34"/>
    <w:rsid w:val="008B3832"/>
    <w:rsid w:val="008B549F"/>
    <w:rsid w:val="008B649B"/>
    <w:rsid w:val="008C0B4F"/>
    <w:rsid w:val="008C4233"/>
    <w:rsid w:val="008C62F6"/>
    <w:rsid w:val="008D0AAE"/>
    <w:rsid w:val="008D28A9"/>
    <w:rsid w:val="008D370D"/>
    <w:rsid w:val="008E054A"/>
    <w:rsid w:val="008E4725"/>
    <w:rsid w:val="008E7F87"/>
    <w:rsid w:val="008F3693"/>
    <w:rsid w:val="009001DD"/>
    <w:rsid w:val="00900A5A"/>
    <w:rsid w:val="00900C63"/>
    <w:rsid w:val="009023C6"/>
    <w:rsid w:val="00905BEF"/>
    <w:rsid w:val="00906136"/>
    <w:rsid w:val="00907060"/>
    <w:rsid w:val="00915A7F"/>
    <w:rsid w:val="00916335"/>
    <w:rsid w:val="00921FC4"/>
    <w:rsid w:val="00922BBB"/>
    <w:rsid w:val="00922ED7"/>
    <w:rsid w:val="00924CDE"/>
    <w:rsid w:val="009300A1"/>
    <w:rsid w:val="00932036"/>
    <w:rsid w:val="00934375"/>
    <w:rsid w:val="00941DF8"/>
    <w:rsid w:val="00943CD9"/>
    <w:rsid w:val="009519B6"/>
    <w:rsid w:val="009522E5"/>
    <w:rsid w:val="0095338C"/>
    <w:rsid w:val="009533B2"/>
    <w:rsid w:val="00956311"/>
    <w:rsid w:val="009569FF"/>
    <w:rsid w:val="0095719F"/>
    <w:rsid w:val="00957754"/>
    <w:rsid w:val="009637BB"/>
    <w:rsid w:val="00965FEF"/>
    <w:rsid w:val="00967D45"/>
    <w:rsid w:val="0097140B"/>
    <w:rsid w:val="009765C6"/>
    <w:rsid w:val="00977942"/>
    <w:rsid w:val="00981CD7"/>
    <w:rsid w:val="00982D13"/>
    <w:rsid w:val="00984810"/>
    <w:rsid w:val="0098674A"/>
    <w:rsid w:val="0099667D"/>
    <w:rsid w:val="0099791A"/>
    <w:rsid w:val="009A1617"/>
    <w:rsid w:val="009A1B18"/>
    <w:rsid w:val="009A2DAA"/>
    <w:rsid w:val="009A43C1"/>
    <w:rsid w:val="009A5393"/>
    <w:rsid w:val="009A5F64"/>
    <w:rsid w:val="009A62A6"/>
    <w:rsid w:val="009B003A"/>
    <w:rsid w:val="009B2711"/>
    <w:rsid w:val="009B359E"/>
    <w:rsid w:val="009C1B17"/>
    <w:rsid w:val="009C3E0F"/>
    <w:rsid w:val="009C43BC"/>
    <w:rsid w:val="009C6432"/>
    <w:rsid w:val="009D1349"/>
    <w:rsid w:val="009D16D1"/>
    <w:rsid w:val="009D1B33"/>
    <w:rsid w:val="009D3201"/>
    <w:rsid w:val="009D35DB"/>
    <w:rsid w:val="009D3714"/>
    <w:rsid w:val="009F0EEC"/>
    <w:rsid w:val="009F1A34"/>
    <w:rsid w:val="009F1E3E"/>
    <w:rsid w:val="009F2765"/>
    <w:rsid w:val="009F430D"/>
    <w:rsid w:val="009F44BD"/>
    <w:rsid w:val="00A00ED6"/>
    <w:rsid w:val="00A01DDB"/>
    <w:rsid w:val="00A04B04"/>
    <w:rsid w:val="00A0616A"/>
    <w:rsid w:val="00A077A2"/>
    <w:rsid w:val="00A11F02"/>
    <w:rsid w:val="00A1422E"/>
    <w:rsid w:val="00A2470D"/>
    <w:rsid w:val="00A30024"/>
    <w:rsid w:val="00A32F80"/>
    <w:rsid w:val="00A34A33"/>
    <w:rsid w:val="00A357A1"/>
    <w:rsid w:val="00A36A44"/>
    <w:rsid w:val="00A549C7"/>
    <w:rsid w:val="00A5796D"/>
    <w:rsid w:val="00A57B0A"/>
    <w:rsid w:val="00A6150D"/>
    <w:rsid w:val="00A637A6"/>
    <w:rsid w:val="00A67DBE"/>
    <w:rsid w:val="00A74577"/>
    <w:rsid w:val="00A74D69"/>
    <w:rsid w:val="00A770F8"/>
    <w:rsid w:val="00A77977"/>
    <w:rsid w:val="00A80987"/>
    <w:rsid w:val="00A84662"/>
    <w:rsid w:val="00A87C76"/>
    <w:rsid w:val="00A87F29"/>
    <w:rsid w:val="00A9494B"/>
    <w:rsid w:val="00AA2572"/>
    <w:rsid w:val="00AA4707"/>
    <w:rsid w:val="00AB1A1D"/>
    <w:rsid w:val="00AC1788"/>
    <w:rsid w:val="00AC638B"/>
    <w:rsid w:val="00AD029C"/>
    <w:rsid w:val="00AE06DF"/>
    <w:rsid w:val="00AE0F64"/>
    <w:rsid w:val="00AE3323"/>
    <w:rsid w:val="00AE7C5F"/>
    <w:rsid w:val="00AF029D"/>
    <w:rsid w:val="00AF648F"/>
    <w:rsid w:val="00B00A5F"/>
    <w:rsid w:val="00B017AD"/>
    <w:rsid w:val="00B029E2"/>
    <w:rsid w:val="00B03E50"/>
    <w:rsid w:val="00B1006C"/>
    <w:rsid w:val="00B10A40"/>
    <w:rsid w:val="00B11D80"/>
    <w:rsid w:val="00B14EF1"/>
    <w:rsid w:val="00B14F2B"/>
    <w:rsid w:val="00B14FEB"/>
    <w:rsid w:val="00B20977"/>
    <w:rsid w:val="00B213C0"/>
    <w:rsid w:val="00B2289A"/>
    <w:rsid w:val="00B3291F"/>
    <w:rsid w:val="00B37E75"/>
    <w:rsid w:val="00B40F04"/>
    <w:rsid w:val="00B44FC5"/>
    <w:rsid w:val="00B45488"/>
    <w:rsid w:val="00B5332A"/>
    <w:rsid w:val="00B56ADD"/>
    <w:rsid w:val="00B648A8"/>
    <w:rsid w:val="00B65B65"/>
    <w:rsid w:val="00B71B6B"/>
    <w:rsid w:val="00B756AD"/>
    <w:rsid w:val="00B75789"/>
    <w:rsid w:val="00B8364E"/>
    <w:rsid w:val="00B86467"/>
    <w:rsid w:val="00B878E0"/>
    <w:rsid w:val="00B94D84"/>
    <w:rsid w:val="00B94FEA"/>
    <w:rsid w:val="00B968B0"/>
    <w:rsid w:val="00BA1A6B"/>
    <w:rsid w:val="00BA34BF"/>
    <w:rsid w:val="00BA690B"/>
    <w:rsid w:val="00BB08D3"/>
    <w:rsid w:val="00BB3E4F"/>
    <w:rsid w:val="00BB4FAA"/>
    <w:rsid w:val="00BB52A6"/>
    <w:rsid w:val="00BC124D"/>
    <w:rsid w:val="00BC3FB5"/>
    <w:rsid w:val="00BC48DD"/>
    <w:rsid w:val="00BD0704"/>
    <w:rsid w:val="00BD23B0"/>
    <w:rsid w:val="00BD4534"/>
    <w:rsid w:val="00BD68C2"/>
    <w:rsid w:val="00BD6BBE"/>
    <w:rsid w:val="00BE2BF2"/>
    <w:rsid w:val="00BE6169"/>
    <w:rsid w:val="00BE6584"/>
    <w:rsid w:val="00BF0F98"/>
    <w:rsid w:val="00BF2AD9"/>
    <w:rsid w:val="00BF6985"/>
    <w:rsid w:val="00BF72D9"/>
    <w:rsid w:val="00C06053"/>
    <w:rsid w:val="00C12223"/>
    <w:rsid w:val="00C147DB"/>
    <w:rsid w:val="00C15B84"/>
    <w:rsid w:val="00C17EC1"/>
    <w:rsid w:val="00C24859"/>
    <w:rsid w:val="00C25CCF"/>
    <w:rsid w:val="00C26666"/>
    <w:rsid w:val="00C26E9B"/>
    <w:rsid w:val="00C27D0E"/>
    <w:rsid w:val="00C309D0"/>
    <w:rsid w:val="00C333FE"/>
    <w:rsid w:val="00C33D32"/>
    <w:rsid w:val="00C37034"/>
    <w:rsid w:val="00C417C8"/>
    <w:rsid w:val="00C44F35"/>
    <w:rsid w:val="00C451EC"/>
    <w:rsid w:val="00C51D31"/>
    <w:rsid w:val="00C5507C"/>
    <w:rsid w:val="00C66991"/>
    <w:rsid w:val="00C705EC"/>
    <w:rsid w:val="00C7466D"/>
    <w:rsid w:val="00C77CD1"/>
    <w:rsid w:val="00C84C58"/>
    <w:rsid w:val="00C85CF5"/>
    <w:rsid w:val="00C92BA4"/>
    <w:rsid w:val="00C92E76"/>
    <w:rsid w:val="00C94426"/>
    <w:rsid w:val="00CA59A6"/>
    <w:rsid w:val="00CA620F"/>
    <w:rsid w:val="00CA7D6B"/>
    <w:rsid w:val="00CB5FD3"/>
    <w:rsid w:val="00CB6DBB"/>
    <w:rsid w:val="00CB7763"/>
    <w:rsid w:val="00CC1F8E"/>
    <w:rsid w:val="00CC2729"/>
    <w:rsid w:val="00CC4F18"/>
    <w:rsid w:val="00CC6437"/>
    <w:rsid w:val="00CD168C"/>
    <w:rsid w:val="00CD2299"/>
    <w:rsid w:val="00CD23C6"/>
    <w:rsid w:val="00CD67E3"/>
    <w:rsid w:val="00CD72D0"/>
    <w:rsid w:val="00CE1FA7"/>
    <w:rsid w:val="00CE38E0"/>
    <w:rsid w:val="00CE3A2A"/>
    <w:rsid w:val="00CE3E69"/>
    <w:rsid w:val="00CF1331"/>
    <w:rsid w:val="00CF2A4D"/>
    <w:rsid w:val="00CF2C3A"/>
    <w:rsid w:val="00CF637C"/>
    <w:rsid w:val="00D032CB"/>
    <w:rsid w:val="00D06EFA"/>
    <w:rsid w:val="00D0742B"/>
    <w:rsid w:val="00D07D6A"/>
    <w:rsid w:val="00D17580"/>
    <w:rsid w:val="00D2024A"/>
    <w:rsid w:val="00D20812"/>
    <w:rsid w:val="00D2391A"/>
    <w:rsid w:val="00D34178"/>
    <w:rsid w:val="00D3643D"/>
    <w:rsid w:val="00D41244"/>
    <w:rsid w:val="00D424E9"/>
    <w:rsid w:val="00D44A80"/>
    <w:rsid w:val="00D46BD6"/>
    <w:rsid w:val="00D61919"/>
    <w:rsid w:val="00D622E3"/>
    <w:rsid w:val="00D6255B"/>
    <w:rsid w:val="00D63D74"/>
    <w:rsid w:val="00D643AA"/>
    <w:rsid w:val="00D67380"/>
    <w:rsid w:val="00D70105"/>
    <w:rsid w:val="00D72417"/>
    <w:rsid w:val="00D75E5C"/>
    <w:rsid w:val="00D77A87"/>
    <w:rsid w:val="00D84BA3"/>
    <w:rsid w:val="00DA7DE4"/>
    <w:rsid w:val="00DC0CD3"/>
    <w:rsid w:val="00DC5DBD"/>
    <w:rsid w:val="00DC7D8B"/>
    <w:rsid w:val="00DD0FCC"/>
    <w:rsid w:val="00DD206B"/>
    <w:rsid w:val="00DD547D"/>
    <w:rsid w:val="00DE1309"/>
    <w:rsid w:val="00DE1F17"/>
    <w:rsid w:val="00DE423A"/>
    <w:rsid w:val="00DF1BE6"/>
    <w:rsid w:val="00DF289C"/>
    <w:rsid w:val="00DF54DE"/>
    <w:rsid w:val="00E02F13"/>
    <w:rsid w:val="00E03BD1"/>
    <w:rsid w:val="00E05F65"/>
    <w:rsid w:val="00E11243"/>
    <w:rsid w:val="00E11458"/>
    <w:rsid w:val="00E14222"/>
    <w:rsid w:val="00E1477A"/>
    <w:rsid w:val="00E178F5"/>
    <w:rsid w:val="00E22197"/>
    <w:rsid w:val="00E24A91"/>
    <w:rsid w:val="00E27CBD"/>
    <w:rsid w:val="00E306CC"/>
    <w:rsid w:val="00E30F94"/>
    <w:rsid w:val="00E32C29"/>
    <w:rsid w:val="00E37711"/>
    <w:rsid w:val="00E4295B"/>
    <w:rsid w:val="00E43C2E"/>
    <w:rsid w:val="00E43C44"/>
    <w:rsid w:val="00E52CD6"/>
    <w:rsid w:val="00E5481C"/>
    <w:rsid w:val="00E54B9D"/>
    <w:rsid w:val="00E56B8A"/>
    <w:rsid w:val="00E57546"/>
    <w:rsid w:val="00E6353E"/>
    <w:rsid w:val="00E64C45"/>
    <w:rsid w:val="00E66BFC"/>
    <w:rsid w:val="00E66C55"/>
    <w:rsid w:val="00E66E5E"/>
    <w:rsid w:val="00E72AB2"/>
    <w:rsid w:val="00E73D9A"/>
    <w:rsid w:val="00E74AEA"/>
    <w:rsid w:val="00E754DB"/>
    <w:rsid w:val="00E76D0C"/>
    <w:rsid w:val="00E77681"/>
    <w:rsid w:val="00E776DC"/>
    <w:rsid w:val="00E82EFE"/>
    <w:rsid w:val="00E8543E"/>
    <w:rsid w:val="00E854FA"/>
    <w:rsid w:val="00EA2782"/>
    <w:rsid w:val="00EA5625"/>
    <w:rsid w:val="00EB00A5"/>
    <w:rsid w:val="00EC0728"/>
    <w:rsid w:val="00EC18A2"/>
    <w:rsid w:val="00EC3146"/>
    <w:rsid w:val="00EC733B"/>
    <w:rsid w:val="00EC7B11"/>
    <w:rsid w:val="00EC7C9A"/>
    <w:rsid w:val="00EC7ECC"/>
    <w:rsid w:val="00ED4E56"/>
    <w:rsid w:val="00ED5055"/>
    <w:rsid w:val="00ED66B6"/>
    <w:rsid w:val="00ED7E49"/>
    <w:rsid w:val="00EE16ED"/>
    <w:rsid w:val="00EE1976"/>
    <w:rsid w:val="00EE1BC6"/>
    <w:rsid w:val="00EE2C39"/>
    <w:rsid w:val="00EE4A8D"/>
    <w:rsid w:val="00EE7645"/>
    <w:rsid w:val="00EF2201"/>
    <w:rsid w:val="00EF4E0B"/>
    <w:rsid w:val="00EF7076"/>
    <w:rsid w:val="00F00DF2"/>
    <w:rsid w:val="00F07012"/>
    <w:rsid w:val="00F07DE9"/>
    <w:rsid w:val="00F16AFF"/>
    <w:rsid w:val="00F2403E"/>
    <w:rsid w:val="00F2667F"/>
    <w:rsid w:val="00F26E29"/>
    <w:rsid w:val="00F27ABE"/>
    <w:rsid w:val="00F3282E"/>
    <w:rsid w:val="00F35E59"/>
    <w:rsid w:val="00F40D6D"/>
    <w:rsid w:val="00F42CD0"/>
    <w:rsid w:val="00F47B65"/>
    <w:rsid w:val="00F525D5"/>
    <w:rsid w:val="00F5310F"/>
    <w:rsid w:val="00F54A8F"/>
    <w:rsid w:val="00F5564A"/>
    <w:rsid w:val="00F5676B"/>
    <w:rsid w:val="00F57F9F"/>
    <w:rsid w:val="00F61E1B"/>
    <w:rsid w:val="00F670A6"/>
    <w:rsid w:val="00F76794"/>
    <w:rsid w:val="00F81D0E"/>
    <w:rsid w:val="00F82569"/>
    <w:rsid w:val="00F86211"/>
    <w:rsid w:val="00F86D88"/>
    <w:rsid w:val="00F87950"/>
    <w:rsid w:val="00F947CC"/>
    <w:rsid w:val="00F95A6A"/>
    <w:rsid w:val="00F96F48"/>
    <w:rsid w:val="00F9792E"/>
    <w:rsid w:val="00FA1871"/>
    <w:rsid w:val="00FB0A88"/>
    <w:rsid w:val="00FB1A92"/>
    <w:rsid w:val="00FB1E8F"/>
    <w:rsid w:val="00FB595F"/>
    <w:rsid w:val="00FB6151"/>
    <w:rsid w:val="00FB7332"/>
    <w:rsid w:val="00FB7E3C"/>
    <w:rsid w:val="00FC28D9"/>
    <w:rsid w:val="00FC4305"/>
    <w:rsid w:val="00FD05C0"/>
    <w:rsid w:val="00FE1B0D"/>
    <w:rsid w:val="00FE3D94"/>
    <w:rsid w:val="00FF2695"/>
    <w:rsid w:val="00FF341E"/>
    <w:rsid w:val="00FF50EA"/>
    <w:rsid w:val="00FF6A21"/>
    <w:rsid w:val="074AA7D8"/>
    <w:rsid w:val="0AF2A014"/>
    <w:rsid w:val="1EFA6E60"/>
    <w:rsid w:val="22B7A731"/>
    <w:rsid w:val="2AAAA33B"/>
    <w:rsid w:val="2F1D4F84"/>
    <w:rsid w:val="3534CEEB"/>
    <w:rsid w:val="3561335E"/>
    <w:rsid w:val="38EA18AB"/>
    <w:rsid w:val="3C10215A"/>
    <w:rsid w:val="41FA2996"/>
    <w:rsid w:val="52824D99"/>
    <w:rsid w:val="53D3D012"/>
    <w:rsid w:val="5E7FD7B7"/>
    <w:rsid w:val="65FBA730"/>
    <w:rsid w:val="67886B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C35F"/>
  <w15:chartTrackingRefBased/>
  <w15:docId w15:val="{951ECC26-1A9C-4E50-B034-0727572E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75C"/>
    <w:pPr>
      <w:outlineLvl w:val="0"/>
    </w:pPr>
    <w:rPr>
      <w:rFonts w:cstheme="minorHAnsi"/>
      <w:b/>
      <w:bCs/>
      <w:sz w:val="24"/>
      <w:szCs w:val="24"/>
    </w:rPr>
  </w:style>
  <w:style w:type="paragraph" w:styleId="Heading2">
    <w:name w:val="heading 2"/>
    <w:basedOn w:val="Normal"/>
    <w:next w:val="Normal"/>
    <w:link w:val="Heading2Char"/>
    <w:uiPriority w:val="9"/>
    <w:unhideWhenUsed/>
    <w:qFormat/>
    <w:rsid w:val="006C075C"/>
    <w:pPr>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352"/>
    <w:rPr>
      <w:color w:val="0563C1" w:themeColor="hyperlink"/>
      <w:u w:val="single"/>
    </w:rPr>
  </w:style>
  <w:style w:type="character" w:styleId="UnresolvedMention">
    <w:name w:val="Unresolved Mention"/>
    <w:basedOn w:val="DefaultParagraphFont"/>
    <w:uiPriority w:val="99"/>
    <w:semiHidden/>
    <w:unhideWhenUsed/>
    <w:rsid w:val="00823352"/>
    <w:rPr>
      <w:color w:val="605E5C"/>
      <w:shd w:val="clear" w:color="auto" w:fill="E1DFDD"/>
    </w:rPr>
  </w:style>
  <w:style w:type="table" w:styleId="TableGrid">
    <w:name w:val="Table Grid"/>
    <w:basedOn w:val="TableNormal"/>
    <w:uiPriority w:val="59"/>
    <w:rsid w:val="0090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001D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001DD"/>
    <w:rPr>
      <w:rFonts w:eastAsiaTheme="minorHAnsi"/>
      <w:sz w:val="20"/>
      <w:szCs w:val="20"/>
      <w:lang w:eastAsia="en-US"/>
    </w:rPr>
  </w:style>
  <w:style w:type="character" w:styleId="FootnoteReference">
    <w:name w:val="footnote reference"/>
    <w:basedOn w:val="DefaultParagraphFont"/>
    <w:uiPriority w:val="99"/>
    <w:unhideWhenUsed/>
    <w:rsid w:val="009001DD"/>
    <w:rPr>
      <w:vertAlign w:val="superscript"/>
    </w:rPr>
  </w:style>
  <w:style w:type="paragraph" w:styleId="ListParagraph">
    <w:name w:val="List Paragraph"/>
    <w:basedOn w:val="Normal"/>
    <w:uiPriority w:val="34"/>
    <w:qFormat/>
    <w:rsid w:val="001612E7"/>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E1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222"/>
  </w:style>
  <w:style w:type="paragraph" w:styleId="Footer">
    <w:name w:val="footer"/>
    <w:basedOn w:val="Normal"/>
    <w:link w:val="FooterChar"/>
    <w:uiPriority w:val="99"/>
    <w:unhideWhenUsed/>
    <w:rsid w:val="00E1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222"/>
  </w:style>
  <w:style w:type="paragraph" w:styleId="NormalWeb">
    <w:name w:val="Normal (Web)"/>
    <w:basedOn w:val="Normal"/>
    <w:uiPriority w:val="99"/>
    <w:semiHidden/>
    <w:unhideWhenUsed/>
    <w:rsid w:val="00C147D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D16D1"/>
    <w:rPr>
      <w:sz w:val="16"/>
      <w:szCs w:val="16"/>
    </w:rPr>
  </w:style>
  <w:style w:type="paragraph" w:styleId="CommentText">
    <w:name w:val="annotation text"/>
    <w:basedOn w:val="Normal"/>
    <w:link w:val="CommentTextChar"/>
    <w:uiPriority w:val="99"/>
    <w:semiHidden/>
    <w:unhideWhenUsed/>
    <w:rsid w:val="009D16D1"/>
    <w:pPr>
      <w:spacing w:line="240" w:lineRule="auto"/>
    </w:pPr>
    <w:rPr>
      <w:sz w:val="20"/>
      <w:szCs w:val="20"/>
    </w:rPr>
  </w:style>
  <w:style w:type="character" w:customStyle="1" w:styleId="CommentTextChar">
    <w:name w:val="Comment Text Char"/>
    <w:basedOn w:val="DefaultParagraphFont"/>
    <w:link w:val="CommentText"/>
    <w:uiPriority w:val="99"/>
    <w:semiHidden/>
    <w:rsid w:val="009D16D1"/>
    <w:rPr>
      <w:sz w:val="20"/>
      <w:szCs w:val="20"/>
    </w:rPr>
  </w:style>
  <w:style w:type="paragraph" w:styleId="CommentSubject">
    <w:name w:val="annotation subject"/>
    <w:basedOn w:val="CommentText"/>
    <w:next w:val="CommentText"/>
    <w:link w:val="CommentSubjectChar"/>
    <w:uiPriority w:val="99"/>
    <w:semiHidden/>
    <w:unhideWhenUsed/>
    <w:rsid w:val="009D16D1"/>
    <w:rPr>
      <w:b/>
      <w:bCs/>
    </w:rPr>
  </w:style>
  <w:style w:type="character" w:customStyle="1" w:styleId="CommentSubjectChar">
    <w:name w:val="Comment Subject Char"/>
    <w:basedOn w:val="CommentTextChar"/>
    <w:link w:val="CommentSubject"/>
    <w:uiPriority w:val="99"/>
    <w:semiHidden/>
    <w:rsid w:val="009D16D1"/>
    <w:rPr>
      <w:b/>
      <w:bCs/>
      <w:sz w:val="20"/>
      <w:szCs w:val="20"/>
    </w:rPr>
  </w:style>
  <w:style w:type="character" w:styleId="FollowedHyperlink">
    <w:name w:val="FollowedHyperlink"/>
    <w:basedOn w:val="DefaultParagraphFont"/>
    <w:uiPriority w:val="99"/>
    <w:semiHidden/>
    <w:unhideWhenUsed/>
    <w:rsid w:val="00DF1BE6"/>
    <w:rPr>
      <w:color w:val="954F72" w:themeColor="followedHyperlink"/>
      <w:u w:val="single"/>
    </w:rPr>
  </w:style>
  <w:style w:type="paragraph" w:styleId="Date">
    <w:name w:val="Date"/>
    <w:basedOn w:val="Normal"/>
    <w:next w:val="Normal"/>
    <w:link w:val="DateChar"/>
    <w:uiPriority w:val="99"/>
    <w:semiHidden/>
    <w:unhideWhenUsed/>
    <w:rsid w:val="00FB595F"/>
  </w:style>
  <w:style w:type="character" w:customStyle="1" w:styleId="DateChar">
    <w:name w:val="Date Char"/>
    <w:basedOn w:val="DefaultParagraphFont"/>
    <w:link w:val="Date"/>
    <w:uiPriority w:val="99"/>
    <w:semiHidden/>
    <w:rsid w:val="00FB595F"/>
  </w:style>
  <w:style w:type="paragraph" w:styleId="Title">
    <w:name w:val="Title"/>
    <w:basedOn w:val="Normal"/>
    <w:next w:val="Normal"/>
    <w:link w:val="TitleChar"/>
    <w:uiPriority w:val="10"/>
    <w:qFormat/>
    <w:rsid w:val="006C075C"/>
    <w:rPr>
      <w:b/>
      <w:bCs/>
      <w:sz w:val="28"/>
      <w:szCs w:val="28"/>
    </w:rPr>
  </w:style>
  <w:style w:type="character" w:customStyle="1" w:styleId="TitleChar">
    <w:name w:val="Title Char"/>
    <w:basedOn w:val="DefaultParagraphFont"/>
    <w:link w:val="Title"/>
    <w:uiPriority w:val="10"/>
    <w:rsid w:val="006C075C"/>
    <w:rPr>
      <w:b/>
      <w:bCs/>
      <w:sz w:val="28"/>
      <w:szCs w:val="28"/>
    </w:rPr>
  </w:style>
  <w:style w:type="character" w:customStyle="1" w:styleId="Heading1Char">
    <w:name w:val="Heading 1 Char"/>
    <w:basedOn w:val="DefaultParagraphFont"/>
    <w:link w:val="Heading1"/>
    <w:uiPriority w:val="9"/>
    <w:rsid w:val="006C075C"/>
    <w:rPr>
      <w:rFonts w:cstheme="minorHAnsi"/>
      <w:b/>
      <w:bCs/>
      <w:sz w:val="24"/>
      <w:szCs w:val="24"/>
    </w:rPr>
  </w:style>
  <w:style w:type="character" w:customStyle="1" w:styleId="Heading2Char">
    <w:name w:val="Heading 2 Char"/>
    <w:basedOn w:val="DefaultParagraphFont"/>
    <w:link w:val="Heading2"/>
    <w:uiPriority w:val="9"/>
    <w:rsid w:val="006C075C"/>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86">
      <w:bodyDiv w:val="1"/>
      <w:marLeft w:val="0"/>
      <w:marRight w:val="0"/>
      <w:marTop w:val="0"/>
      <w:marBottom w:val="0"/>
      <w:divBdr>
        <w:top w:val="none" w:sz="0" w:space="0" w:color="auto"/>
        <w:left w:val="none" w:sz="0" w:space="0" w:color="auto"/>
        <w:bottom w:val="none" w:sz="0" w:space="0" w:color="auto"/>
        <w:right w:val="none" w:sz="0" w:space="0" w:color="auto"/>
      </w:divBdr>
    </w:div>
    <w:div w:id="169834130">
      <w:bodyDiv w:val="1"/>
      <w:marLeft w:val="0"/>
      <w:marRight w:val="0"/>
      <w:marTop w:val="0"/>
      <w:marBottom w:val="0"/>
      <w:divBdr>
        <w:top w:val="none" w:sz="0" w:space="0" w:color="auto"/>
        <w:left w:val="none" w:sz="0" w:space="0" w:color="auto"/>
        <w:bottom w:val="none" w:sz="0" w:space="0" w:color="auto"/>
        <w:right w:val="none" w:sz="0" w:space="0" w:color="auto"/>
      </w:divBdr>
    </w:div>
    <w:div w:id="390469425">
      <w:bodyDiv w:val="1"/>
      <w:marLeft w:val="0"/>
      <w:marRight w:val="0"/>
      <w:marTop w:val="0"/>
      <w:marBottom w:val="0"/>
      <w:divBdr>
        <w:top w:val="none" w:sz="0" w:space="0" w:color="auto"/>
        <w:left w:val="none" w:sz="0" w:space="0" w:color="auto"/>
        <w:bottom w:val="none" w:sz="0" w:space="0" w:color="auto"/>
        <w:right w:val="none" w:sz="0" w:space="0" w:color="auto"/>
      </w:divBdr>
    </w:div>
    <w:div w:id="491069334">
      <w:bodyDiv w:val="1"/>
      <w:marLeft w:val="0"/>
      <w:marRight w:val="0"/>
      <w:marTop w:val="0"/>
      <w:marBottom w:val="0"/>
      <w:divBdr>
        <w:top w:val="none" w:sz="0" w:space="0" w:color="auto"/>
        <w:left w:val="none" w:sz="0" w:space="0" w:color="auto"/>
        <w:bottom w:val="none" w:sz="0" w:space="0" w:color="auto"/>
        <w:right w:val="none" w:sz="0" w:space="0" w:color="auto"/>
      </w:divBdr>
    </w:div>
    <w:div w:id="555238075">
      <w:bodyDiv w:val="1"/>
      <w:marLeft w:val="0"/>
      <w:marRight w:val="0"/>
      <w:marTop w:val="0"/>
      <w:marBottom w:val="0"/>
      <w:divBdr>
        <w:top w:val="none" w:sz="0" w:space="0" w:color="auto"/>
        <w:left w:val="none" w:sz="0" w:space="0" w:color="auto"/>
        <w:bottom w:val="none" w:sz="0" w:space="0" w:color="auto"/>
        <w:right w:val="none" w:sz="0" w:space="0" w:color="auto"/>
      </w:divBdr>
    </w:div>
    <w:div w:id="592124617">
      <w:bodyDiv w:val="1"/>
      <w:marLeft w:val="0"/>
      <w:marRight w:val="0"/>
      <w:marTop w:val="0"/>
      <w:marBottom w:val="0"/>
      <w:divBdr>
        <w:top w:val="none" w:sz="0" w:space="0" w:color="auto"/>
        <w:left w:val="none" w:sz="0" w:space="0" w:color="auto"/>
        <w:bottom w:val="none" w:sz="0" w:space="0" w:color="auto"/>
        <w:right w:val="none" w:sz="0" w:space="0" w:color="auto"/>
      </w:divBdr>
    </w:div>
    <w:div w:id="772479530">
      <w:bodyDiv w:val="1"/>
      <w:marLeft w:val="0"/>
      <w:marRight w:val="0"/>
      <w:marTop w:val="0"/>
      <w:marBottom w:val="0"/>
      <w:divBdr>
        <w:top w:val="none" w:sz="0" w:space="0" w:color="auto"/>
        <w:left w:val="none" w:sz="0" w:space="0" w:color="auto"/>
        <w:bottom w:val="none" w:sz="0" w:space="0" w:color="auto"/>
        <w:right w:val="none" w:sz="0" w:space="0" w:color="auto"/>
      </w:divBdr>
      <w:divsChild>
        <w:div w:id="480198791">
          <w:marLeft w:val="0"/>
          <w:marRight w:val="0"/>
          <w:marTop w:val="0"/>
          <w:marBottom w:val="0"/>
          <w:divBdr>
            <w:top w:val="none" w:sz="0" w:space="0" w:color="auto"/>
            <w:left w:val="none" w:sz="0" w:space="0" w:color="auto"/>
            <w:bottom w:val="none" w:sz="0" w:space="0" w:color="auto"/>
            <w:right w:val="none" w:sz="0" w:space="0" w:color="auto"/>
          </w:divBdr>
        </w:div>
        <w:div w:id="569779247">
          <w:marLeft w:val="0"/>
          <w:marRight w:val="0"/>
          <w:marTop w:val="0"/>
          <w:marBottom w:val="0"/>
          <w:divBdr>
            <w:top w:val="none" w:sz="0" w:space="0" w:color="auto"/>
            <w:left w:val="none" w:sz="0" w:space="0" w:color="auto"/>
            <w:bottom w:val="none" w:sz="0" w:space="0" w:color="auto"/>
            <w:right w:val="none" w:sz="0" w:space="0" w:color="auto"/>
          </w:divBdr>
        </w:div>
        <w:div w:id="957956798">
          <w:marLeft w:val="0"/>
          <w:marRight w:val="0"/>
          <w:marTop w:val="0"/>
          <w:marBottom w:val="0"/>
          <w:divBdr>
            <w:top w:val="none" w:sz="0" w:space="0" w:color="auto"/>
            <w:left w:val="none" w:sz="0" w:space="0" w:color="auto"/>
            <w:bottom w:val="none" w:sz="0" w:space="0" w:color="auto"/>
            <w:right w:val="none" w:sz="0" w:space="0" w:color="auto"/>
          </w:divBdr>
        </w:div>
      </w:divsChild>
    </w:div>
    <w:div w:id="929504945">
      <w:bodyDiv w:val="1"/>
      <w:marLeft w:val="0"/>
      <w:marRight w:val="0"/>
      <w:marTop w:val="0"/>
      <w:marBottom w:val="0"/>
      <w:divBdr>
        <w:top w:val="none" w:sz="0" w:space="0" w:color="auto"/>
        <w:left w:val="none" w:sz="0" w:space="0" w:color="auto"/>
        <w:bottom w:val="none" w:sz="0" w:space="0" w:color="auto"/>
        <w:right w:val="none" w:sz="0" w:space="0" w:color="auto"/>
      </w:divBdr>
    </w:div>
    <w:div w:id="1619726216">
      <w:bodyDiv w:val="1"/>
      <w:marLeft w:val="0"/>
      <w:marRight w:val="0"/>
      <w:marTop w:val="0"/>
      <w:marBottom w:val="0"/>
      <w:divBdr>
        <w:top w:val="none" w:sz="0" w:space="0" w:color="auto"/>
        <w:left w:val="none" w:sz="0" w:space="0" w:color="auto"/>
        <w:bottom w:val="none" w:sz="0" w:space="0" w:color="auto"/>
        <w:right w:val="none" w:sz="0" w:space="0" w:color="auto"/>
      </w:divBdr>
    </w:div>
    <w:div w:id="1669290976">
      <w:bodyDiv w:val="1"/>
      <w:marLeft w:val="0"/>
      <w:marRight w:val="0"/>
      <w:marTop w:val="0"/>
      <w:marBottom w:val="0"/>
      <w:divBdr>
        <w:top w:val="none" w:sz="0" w:space="0" w:color="auto"/>
        <w:left w:val="none" w:sz="0" w:space="0" w:color="auto"/>
        <w:bottom w:val="none" w:sz="0" w:space="0" w:color="auto"/>
        <w:right w:val="none" w:sz="0" w:space="0" w:color="auto"/>
      </w:divBdr>
    </w:div>
    <w:div w:id="1698652249">
      <w:bodyDiv w:val="1"/>
      <w:marLeft w:val="0"/>
      <w:marRight w:val="0"/>
      <w:marTop w:val="0"/>
      <w:marBottom w:val="0"/>
      <w:divBdr>
        <w:top w:val="none" w:sz="0" w:space="0" w:color="auto"/>
        <w:left w:val="none" w:sz="0" w:space="0" w:color="auto"/>
        <w:bottom w:val="none" w:sz="0" w:space="0" w:color="auto"/>
        <w:right w:val="none" w:sz="0" w:space="0" w:color="auto"/>
      </w:divBdr>
    </w:div>
    <w:div w:id="1701936337">
      <w:bodyDiv w:val="1"/>
      <w:marLeft w:val="0"/>
      <w:marRight w:val="0"/>
      <w:marTop w:val="0"/>
      <w:marBottom w:val="0"/>
      <w:divBdr>
        <w:top w:val="none" w:sz="0" w:space="0" w:color="auto"/>
        <w:left w:val="none" w:sz="0" w:space="0" w:color="auto"/>
        <w:bottom w:val="none" w:sz="0" w:space="0" w:color="auto"/>
        <w:right w:val="none" w:sz="0" w:space="0" w:color="auto"/>
      </w:divBdr>
      <w:divsChild>
        <w:div w:id="768233786">
          <w:marLeft w:val="0"/>
          <w:marRight w:val="0"/>
          <w:marTop w:val="0"/>
          <w:marBottom w:val="0"/>
          <w:divBdr>
            <w:top w:val="none" w:sz="0" w:space="0" w:color="auto"/>
            <w:left w:val="none" w:sz="0" w:space="0" w:color="auto"/>
            <w:bottom w:val="none" w:sz="0" w:space="0" w:color="auto"/>
            <w:right w:val="none" w:sz="0" w:space="0" w:color="auto"/>
          </w:divBdr>
        </w:div>
        <w:div w:id="1048720036">
          <w:marLeft w:val="0"/>
          <w:marRight w:val="0"/>
          <w:marTop w:val="0"/>
          <w:marBottom w:val="0"/>
          <w:divBdr>
            <w:top w:val="none" w:sz="0" w:space="0" w:color="auto"/>
            <w:left w:val="none" w:sz="0" w:space="0" w:color="auto"/>
            <w:bottom w:val="none" w:sz="0" w:space="0" w:color="auto"/>
            <w:right w:val="none" w:sz="0" w:space="0" w:color="auto"/>
          </w:divBdr>
        </w:div>
        <w:div w:id="1058624362">
          <w:marLeft w:val="0"/>
          <w:marRight w:val="0"/>
          <w:marTop w:val="0"/>
          <w:marBottom w:val="0"/>
          <w:divBdr>
            <w:top w:val="none" w:sz="0" w:space="0" w:color="auto"/>
            <w:left w:val="none" w:sz="0" w:space="0" w:color="auto"/>
            <w:bottom w:val="none" w:sz="0" w:space="0" w:color="auto"/>
            <w:right w:val="none" w:sz="0" w:space="0" w:color="auto"/>
          </w:divBdr>
        </w:div>
      </w:divsChild>
    </w:div>
    <w:div w:id="1813058487">
      <w:bodyDiv w:val="1"/>
      <w:marLeft w:val="0"/>
      <w:marRight w:val="0"/>
      <w:marTop w:val="0"/>
      <w:marBottom w:val="0"/>
      <w:divBdr>
        <w:top w:val="none" w:sz="0" w:space="0" w:color="auto"/>
        <w:left w:val="none" w:sz="0" w:space="0" w:color="auto"/>
        <w:bottom w:val="none" w:sz="0" w:space="0" w:color="auto"/>
        <w:right w:val="none" w:sz="0" w:space="0" w:color="auto"/>
      </w:divBdr>
    </w:div>
    <w:div w:id="1856071174">
      <w:bodyDiv w:val="1"/>
      <w:marLeft w:val="0"/>
      <w:marRight w:val="0"/>
      <w:marTop w:val="0"/>
      <w:marBottom w:val="0"/>
      <w:divBdr>
        <w:top w:val="none" w:sz="0" w:space="0" w:color="auto"/>
        <w:left w:val="none" w:sz="0" w:space="0" w:color="auto"/>
        <w:bottom w:val="none" w:sz="0" w:space="0" w:color="auto"/>
        <w:right w:val="none" w:sz="0" w:space="0" w:color="auto"/>
      </w:divBdr>
    </w:div>
    <w:div w:id="1942226587">
      <w:bodyDiv w:val="1"/>
      <w:marLeft w:val="0"/>
      <w:marRight w:val="0"/>
      <w:marTop w:val="0"/>
      <w:marBottom w:val="0"/>
      <w:divBdr>
        <w:top w:val="none" w:sz="0" w:space="0" w:color="auto"/>
        <w:left w:val="none" w:sz="0" w:space="0" w:color="auto"/>
        <w:bottom w:val="none" w:sz="0" w:space="0" w:color="auto"/>
        <w:right w:val="none" w:sz="0" w:space="0" w:color="auto"/>
      </w:divBdr>
    </w:div>
    <w:div w:id="19643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la.ac.uk/myglasgow/humanresources/equalitydiversity/understandingracism/"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la.ac.uk/myglasgow/humanresources/all/health/disabilitysupport/" TargetMode="External"/><Relationship Id="rId7" Type="http://schemas.openxmlformats.org/officeDocument/2006/relationships/endnotes" Target="endnotes.xml"/><Relationship Id="rId12" Type="http://schemas.openxmlformats.org/officeDocument/2006/relationships/hyperlink" Target="https://www.gla.ac.uk/myglasgow/humanresources/equalitydiversity/dignityworkstudyover/independentreview/" TargetMode="External"/><Relationship Id="rId17" Type="http://schemas.openxmlformats.org/officeDocument/2006/relationships/footer" Target="footer1.xml"/><Relationship Id="rId25" Type="http://schemas.openxmlformats.org/officeDocument/2006/relationships/hyperlink" Target="https://www.gla.ac.uk/myglasgow/senateoffice/policies/learningandteachingstrategy/" TargetMode="External"/><Relationship Id="rId2" Type="http://schemas.openxmlformats.org/officeDocument/2006/relationships/numbering" Target="numbering.xml"/><Relationship Id="rId16" Type="http://schemas.openxmlformats.org/officeDocument/2006/relationships/hyperlink" Target="https://www.gla.ac.uk/myglasgow/humanresources/all/codeofprofessionalconduct/" TargetMode="External"/><Relationship Id="rId20" Type="http://schemas.openxmlformats.org/officeDocument/2006/relationships/hyperlink" Target="https://twitter.com/UofGlasgow/status/1582293965646143488?s=20"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ac.uk/news/2023/news-92510.aspx" TargetMode="External"/><Relationship Id="rId24" Type="http://schemas.openxmlformats.org/officeDocument/2006/relationships/hyperlink" Target="https://www.gla.ac.uk/myglasgow/humanresources/equalitydiversity/understandingracism/" TargetMode="External"/><Relationship Id="rId5" Type="http://schemas.openxmlformats.org/officeDocument/2006/relationships/webSettings" Target="webSettings.xml"/><Relationship Id="rId15" Type="http://schemas.openxmlformats.org/officeDocument/2006/relationships/hyperlink" Target="https://www.gla.ac.uk/explore/togetheragainstracism/" TargetMode="External"/><Relationship Id="rId23" Type="http://schemas.openxmlformats.org/officeDocument/2006/relationships/hyperlink" Target="https://www.gla.ac.uk/media/Media_778095_smxx.pdf" TargetMode="External"/><Relationship Id="rId28" Type="http://schemas.openxmlformats.org/officeDocument/2006/relationships/theme" Target="theme/theme1.xml"/><Relationship Id="rId10" Type="http://schemas.openxmlformats.org/officeDocument/2006/relationships/hyperlink" Target="http://www.gla.ac.uk/services/humanresources/equalitydiversity/monitoring/latest/" TargetMode="External"/><Relationship Id="rId19" Type="http://schemas.openxmlformats.org/officeDocument/2006/relationships/hyperlink" Target="https://www.gla.ac.uk/myglasgow/humanresources/all/health/menopause/" TargetMode="External"/><Relationship Id="rId4" Type="http://schemas.openxmlformats.org/officeDocument/2006/relationships/settings" Target="settings.xml"/><Relationship Id="rId9" Type="http://schemas.openxmlformats.org/officeDocument/2006/relationships/hyperlink" Target="http://www.gla.ac.uk/services/humanresources/equalitydiversity/structure/champions/" TargetMode="External"/><Relationship Id="rId14" Type="http://schemas.openxmlformats.org/officeDocument/2006/relationships/hyperlink" Target="https://www.equalityhumanrights.com/en/publication-download/tackling-racial-harassment-universities-challenged" TargetMode="External"/><Relationship Id="rId22" Type="http://schemas.openxmlformats.org/officeDocument/2006/relationships/hyperlink" Target="https://www.gla.ac.uk/myglasgow/humanresources/equalitydiversity/understandingracis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iesuk.ac.uk/what-we-do/policy-and-research/publications/tackling-antisemitism-practical-guidance" TargetMode="External"/><Relationship Id="rId2" Type="http://schemas.openxmlformats.org/officeDocument/2006/relationships/hyperlink" Target="https://www.universitiesuk.ac.uk/what-we-do/policy-and-research/publications/tackling-islamophobia-and-anti-muslim" TargetMode="External"/><Relationship Id="rId1" Type="http://schemas.openxmlformats.org/officeDocument/2006/relationships/hyperlink" Target="https://www.gla.ac.uk/explor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7" ma:contentTypeDescription="Create a new document." ma:contentTypeScope="" ma:versionID="34ef96337f9f069f83c478f3060e0fa9">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d4ac969e376b62879694c3eefcb0c72"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3F080-450B-4291-A43F-5CEBCAE93200}">
  <ds:schemaRefs>
    <ds:schemaRef ds:uri="http://schemas.openxmlformats.org/officeDocument/2006/bibliography"/>
  </ds:schemaRefs>
</ds:datastoreItem>
</file>

<file path=customXml/itemProps2.xml><?xml version="1.0" encoding="utf-8"?>
<ds:datastoreItem xmlns:ds="http://schemas.openxmlformats.org/officeDocument/2006/customXml" ds:itemID="{31D1A391-4EC9-4F71-8BD2-BA8C8E3CC247}"/>
</file>

<file path=customXml/itemProps3.xml><?xml version="1.0" encoding="utf-8"?>
<ds:datastoreItem xmlns:ds="http://schemas.openxmlformats.org/officeDocument/2006/customXml" ds:itemID="{F6AD7B86-8E9B-4A28-BB1F-683D71CD3C5B}"/>
</file>

<file path=docProps/app.xml><?xml version="1.0" encoding="utf-8"?>
<Properties xmlns="http://schemas.openxmlformats.org/officeDocument/2006/extended-properties" xmlns:vt="http://schemas.openxmlformats.org/officeDocument/2006/docPropsVTypes">
  <Template>Normal.dotm</Template>
  <TotalTime>117</TotalTime>
  <Pages>15</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Taylor</dc:creator>
  <cp:keywords/>
  <dc:description/>
  <cp:lastModifiedBy>Mhairi Taylor</cp:lastModifiedBy>
  <cp:revision>10</cp:revision>
  <dcterms:created xsi:type="dcterms:W3CDTF">2023-03-06T13:56:00Z</dcterms:created>
  <dcterms:modified xsi:type="dcterms:W3CDTF">2023-03-24T11:10:00Z</dcterms:modified>
</cp:coreProperties>
</file>