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2B7A08C8" w:rsidR="00A04F3A" w:rsidRPr="006045D6" w:rsidRDefault="003421F3" w:rsidP="00996618">
      <w:pPr>
        <w:pStyle w:val="Heading1"/>
      </w:pPr>
      <w:r>
        <w:t>Introduction</w:t>
      </w:r>
    </w:p>
    <w:p w14:paraId="3E1653BF" w14:textId="423C5046" w:rsidR="00192CC4" w:rsidRDefault="0064212D" w:rsidP="00192CC4">
      <w:pPr>
        <w:rPr>
          <w:rFonts w:eastAsia="Arial"/>
        </w:rPr>
      </w:pPr>
      <w:bookmarkStart w:id="0" w:name="OLE_LINK80"/>
      <w:bookmarkStart w:id="1" w:name="OLE_LINK81"/>
      <w:r>
        <w:rPr>
          <w:rFonts w:eastAsia="Arial"/>
        </w:rPr>
        <w:t xml:space="preserve">The Investment Committee (IC) is responsible for reviewing, </w:t>
      </w:r>
      <w:proofErr w:type="gramStart"/>
      <w:r>
        <w:rPr>
          <w:rFonts w:eastAsia="Arial"/>
        </w:rPr>
        <w:t>approving</w:t>
      </w:r>
      <w:proofErr w:type="gramEnd"/>
      <w:r>
        <w:rPr>
          <w:rFonts w:eastAsia="Arial"/>
        </w:rPr>
        <w:t xml:space="preserve"> and monitoring University investments in projects and initiatives &gt;£0.5m.  Where investments are &gt;£3m these will be reviewed by IC prior to review </w:t>
      </w:r>
      <w:r w:rsidR="00AD2F71" w:rsidRPr="2D6A2511">
        <w:rPr>
          <w:rFonts w:eastAsia="Arial"/>
        </w:rPr>
        <w:t>Estates</w:t>
      </w:r>
      <w:r>
        <w:rPr>
          <w:rFonts w:eastAsia="Arial"/>
        </w:rPr>
        <w:t xml:space="preserve">, </w:t>
      </w:r>
      <w:r w:rsidR="00AD2F71" w:rsidRPr="2D6A2511">
        <w:rPr>
          <w:rFonts w:eastAsia="Arial"/>
        </w:rPr>
        <w:t xml:space="preserve">Information </w:t>
      </w:r>
      <w:r w:rsidR="003B1CCC" w:rsidRPr="2D6A2511">
        <w:rPr>
          <w:rFonts w:eastAsia="Arial"/>
        </w:rPr>
        <w:t xml:space="preserve">Policy &amp; Strategy </w:t>
      </w:r>
      <w:r>
        <w:rPr>
          <w:rFonts w:eastAsia="Arial"/>
        </w:rPr>
        <w:t>and Finance Committees, and Court if applicable.</w:t>
      </w:r>
      <w:r w:rsidR="00192CC4">
        <w:rPr>
          <w:rFonts w:eastAsia="Arial"/>
        </w:rPr>
        <w:t xml:space="preserve">  The main purpose of the Committee is to evaluate, approve and monitor investments to maximise financial and non-financial return on investment within agreed budgets.</w:t>
      </w:r>
    </w:p>
    <w:bookmarkEnd w:id="0"/>
    <w:bookmarkEnd w:id="1"/>
    <w:p w14:paraId="5BF493F7" w14:textId="70445F8E" w:rsidR="00892686" w:rsidRDefault="007E7009" w:rsidP="00192CC4">
      <w:pPr>
        <w:rPr>
          <w:b/>
          <w:bCs/>
        </w:rPr>
      </w:pPr>
      <w:r w:rsidRPr="00F74A71">
        <w:rPr>
          <w:b/>
          <w:bCs/>
        </w:rPr>
        <w:t>Committee</w:t>
      </w:r>
      <w:r w:rsidR="553EE117" w:rsidRPr="00F74A71">
        <w:rPr>
          <w:b/>
          <w:bCs/>
        </w:rPr>
        <w:t xml:space="preserve"> remi</w:t>
      </w:r>
      <w:r w:rsidR="001168B5">
        <w:rPr>
          <w:b/>
          <w:bCs/>
        </w:rPr>
        <w:t>t</w:t>
      </w:r>
    </w:p>
    <w:p w14:paraId="0B0B92B1" w14:textId="5D27508A" w:rsidR="004B1EFF" w:rsidRDefault="004B1EFF" w:rsidP="004B1EFF">
      <w:pPr>
        <w:rPr>
          <w:b/>
          <w:bCs/>
        </w:rPr>
      </w:pPr>
      <w:r>
        <w:rPr>
          <w:b/>
          <w:bCs/>
        </w:rPr>
        <w:t>Scope:</w:t>
      </w:r>
    </w:p>
    <w:p w14:paraId="4849987F" w14:textId="0D28EF11" w:rsidR="004B1EFF" w:rsidRDefault="004B1EFF" w:rsidP="004B1EFF">
      <w:r>
        <w:t xml:space="preserve">The Committee is responsible for review, </w:t>
      </w:r>
      <w:proofErr w:type="gramStart"/>
      <w:r>
        <w:t>approval</w:t>
      </w:r>
      <w:proofErr w:type="gramEnd"/>
      <w:r>
        <w:t xml:space="preserve"> and post investment review of all investments greater than £0.5m in the following areas:</w:t>
      </w:r>
    </w:p>
    <w:p w14:paraId="76681918" w14:textId="4FB45376" w:rsidR="004B1EFF" w:rsidRDefault="004B1EFF" w:rsidP="004B1EFF">
      <w:pPr>
        <w:pStyle w:val="ListParagraph"/>
        <w:numPr>
          <w:ilvl w:val="0"/>
          <w:numId w:val="22"/>
        </w:numPr>
      </w:pPr>
      <w:r>
        <w:t>All Infrastructure, including:</w:t>
      </w:r>
    </w:p>
    <w:p w14:paraId="3606E620" w14:textId="4914479D" w:rsidR="004B1EFF" w:rsidRDefault="004B1EFF" w:rsidP="004B1EFF">
      <w:pPr>
        <w:pStyle w:val="ListParagraph"/>
        <w:numPr>
          <w:ilvl w:val="1"/>
          <w:numId w:val="22"/>
        </w:numPr>
      </w:pPr>
      <w:r>
        <w:t>Estates</w:t>
      </w:r>
    </w:p>
    <w:p w14:paraId="2A0C3E88" w14:textId="77387C3D" w:rsidR="004B1EFF" w:rsidRDefault="004B1EFF" w:rsidP="004B1EFF">
      <w:pPr>
        <w:pStyle w:val="ListParagraph"/>
        <w:numPr>
          <w:ilvl w:val="1"/>
          <w:numId w:val="22"/>
        </w:numPr>
      </w:pPr>
      <w:r>
        <w:t>Residences</w:t>
      </w:r>
    </w:p>
    <w:p w14:paraId="2AC696C1" w14:textId="6D9736DC" w:rsidR="004B1EFF" w:rsidRDefault="004B1EFF" w:rsidP="004B1EFF">
      <w:pPr>
        <w:pStyle w:val="ListParagraph"/>
        <w:numPr>
          <w:ilvl w:val="1"/>
          <w:numId w:val="22"/>
        </w:numPr>
      </w:pPr>
      <w:r>
        <w:t>IT</w:t>
      </w:r>
    </w:p>
    <w:p w14:paraId="5D208B2F" w14:textId="508CEAB0" w:rsidR="004B1EFF" w:rsidRDefault="004B1EFF" w:rsidP="004B1EFF">
      <w:pPr>
        <w:pStyle w:val="ListParagraph"/>
        <w:numPr>
          <w:ilvl w:val="1"/>
          <w:numId w:val="22"/>
        </w:numPr>
      </w:pPr>
      <w:r>
        <w:t>Equipment</w:t>
      </w:r>
    </w:p>
    <w:p w14:paraId="69DA6B26" w14:textId="118A56F0" w:rsidR="004B1EFF" w:rsidRDefault="004B1EFF" w:rsidP="004B1EFF">
      <w:pPr>
        <w:pStyle w:val="ListParagraph"/>
        <w:numPr>
          <w:ilvl w:val="0"/>
          <w:numId w:val="22"/>
        </w:numPr>
      </w:pPr>
      <w:r>
        <w:t>Strategic investments as outlined in the annual budget (including transformation)</w:t>
      </w:r>
    </w:p>
    <w:p w14:paraId="0335F7E1" w14:textId="1EEA83DC" w:rsidR="004B1EFF" w:rsidRDefault="004B1EFF" w:rsidP="00F74A71">
      <w:pPr>
        <w:pStyle w:val="ListParagraph"/>
        <w:numPr>
          <w:ilvl w:val="0"/>
          <w:numId w:val="22"/>
        </w:numPr>
      </w:pPr>
      <w:r>
        <w:t>College roll-forward</w:t>
      </w:r>
    </w:p>
    <w:p w14:paraId="612F3124" w14:textId="504C1339" w:rsidR="004B1EFF" w:rsidRDefault="004B1EFF" w:rsidP="004B1EFF">
      <w:pPr>
        <w:pStyle w:val="ListParagraph"/>
        <w:numPr>
          <w:ilvl w:val="0"/>
          <w:numId w:val="22"/>
        </w:numPr>
      </w:pPr>
      <w:r>
        <w:t>Tactical investments outside of budget holder targets</w:t>
      </w:r>
    </w:p>
    <w:p w14:paraId="17574C01" w14:textId="2D60FE43" w:rsidR="004B1EFF" w:rsidRDefault="004B1EFF" w:rsidP="004B1EFF">
      <w:pPr>
        <w:pStyle w:val="ListParagraph"/>
        <w:numPr>
          <w:ilvl w:val="0"/>
          <w:numId w:val="22"/>
        </w:numPr>
      </w:pPr>
      <w:r>
        <w:t>Staff (monitoring investment levels only)</w:t>
      </w:r>
    </w:p>
    <w:p w14:paraId="7D0728D4" w14:textId="626424C5" w:rsidR="00F43E95" w:rsidRPr="00F74A71" w:rsidRDefault="00F43E95" w:rsidP="00F74A71">
      <w:r>
        <w:t xml:space="preserve">Where investment in individual projects </w:t>
      </w:r>
      <w:proofErr w:type="gramStart"/>
      <w:r>
        <w:t>are</w:t>
      </w:r>
      <w:proofErr w:type="gramEnd"/>
      <w:r>
        <w:t xml:space="preserve"> greater than £3m these will require approval from Finance Committee, and may require approval from Estates Committee or IPSC</w:t>
      </w:r>
    </w:p>
    <w:p w14:paraId="52D6398D" w14:textId="2E7A1F8D" w:rsidR="00FC7D61" w:rsidRDefault="00FC7D61" w:rsidP="00FC7D61">
      <w:pPr>
        <w:rPr>
          <w:rFonts w:eastAsia="Arial"/>
        </w:rPr>
      </w:pPr>
      <w:bookmarkStart w:id="2" w:name="OLE_LINK82"/>
      <w:bookmarkStart w:id="3" w:name="OLE_LINK83"/>
      <w:r>
        <w:rPr>
          <w:rFonts w:eastAsia="Arial"/>
        </w:rPr>
        <w:t>The mandate for the IC is as follows:</w:t>
      </w:r>
    </w:p>
    <w:p w14:paraId="7F6AB634" w14:textId="1E191EBE" w:rsidR="00FC7D61" w:rsidRPr="00D23F93" w:rsidRDefault="00192CC4" w:rsidP="00FC7D61">
      <w:pPr>
        <w:rPr>
          <w:b/>
          <w:bCs/>
        </w:rPr>
      </w:pPr>
      <w:r>
        <w:rPr>
          <w:b/>
          <w:bCs/>
        </w:rPr>
        <w:t>Evaluation of Investments</w:t>
      </w:r>
    </w:p>
    <w:p w14:paraId="7898A3A6" w14:textId="77777777" w:rsidR="00004E48" w:rsidRDefault="001168B5" w:rsidP="00004E48">
      <w:pPr>
        <w:pStyle w:val="ListParagraph"/>
        <w:numPr>
          <w:ilvl w:val="0"/>
          <w:numId w:val="17"/>
        </w:numPr>
      </w:pPr>
      <w:r>
        <w:t xml:space="preserve">Review of investments to determine the most appropriate mix of investments to maximise impact on University Strategy, within agreed budget </w:t>
      </w:r>
      <w:proofErr w:type="gramStart"/>
      <w:r>
        <w:t>level</w:t>
      </w:r>
      <w:r w:rsidR="00004E48">
        <w:t>s</w:t>
      </w:r>
      <w:proofErr w:type="gramEnd"/>
    </w:p>
    <w:p w14:paraId="73C9FA73" w14:textId="355A72F7" w:rsidR="00004E48" w:rsidRDefault="001168B5" w:rsidP="00F74A71">
      <w:pPr>
        <w:pStyle w:val="ListParagraph"/>
        <w:numPr>
          <w:ilvl w:val="0"/>
          <w:numId w:val="17"/>
        </w:numPr>
      </w:pPr>
      <w:r>
        <w:t>Review business cases to ensure benefits and impact are clear</w:t>
      </w:r>
      <w:r w:rsidR="00004E48">
        <w:t>, measurable</w:t>
      </w:r>
      <w:r>
        <w:t xml:space="preserve"> and </w:t>
      </w:r>
      <w:proofErr w:type="gramStart"/>
      <w:r>
        <w:t>achievable</w:t>
      </w:r>
      <w:proofErr w:type="gramEnd"/>
    </w:p>
    <w:p w14:paraId="6CC2B8F2" w14:textId="4CAA65DD" w:rsidR="00192CC4" w:rsidRDefault="001168B5" w:rsidP="00F74A71">
      <w:pPr>
        <w:pStyle w:val="ListParagraph"/>
        <w:rPr>
          <w:b/>
          <w:bCs/>
        </w:rPr>
      </w:pPr>
      <w:r>
        <w:t>Ongoing management and evaluation of investment portfolio</w:t>
      </w:r>
    </w:p>
    <w:p w14:paraId="10858D70" w14:textId="1E236A22" w:rsidR="00192CC4" w:rsidRDefault="00192CC4" w:rsidP="00192CC4">
      <w:pPr>
        <w:rPr>
          <w:b/>
          <w:bCs/>
        </w:rPr>
      </w:pPr>
      <w:r>
        <w:rPr>
          <w:b/>
          <w:bCs/>
        </w:rPr>
        <w:t>Cost Control</w:t>
      </w:r>
    </w:p>
    <w:p w14:paraId="1BA2CA2B" w14:textId="004D05B9" w:rsidR="004B1EFF" w:rsidRDefault="004B1EFF" w:rsidP="004B1EFF">
      <w:pPr>
        <w:pStyle w:val="ListParagraph"/>
        <w:numPr>
          <w:ilvl w:val="0"/>
          <w:numId w:val="17"/>
        </w:numPr>
      </w:pPr>
      <w:r>
        <w:t>Monitoring</w:t>
      </w:r>
      <w:r w:rsidR="00004E48">
        <w:t xml:space="preserve"> of expenditure to ensure it remains within agreed levels or allow overspends to be minimised through early </w:t>
      </w:r>
      <w:proofErr w:type="gramStart"/>
      <w:r w:rsidR="00004E48">
        <w:t>action</w:t>
      </w:r>
      <w:proofErr w:type="gramEnd"/>
    </w:p>
    <w:p w14:paraId="4FAB67E7" w14:textId="3735B5F2" w:rsidR="00192CC4" w:rsidRPr="00004E48" w:rsidRDefault="00004E48" w:rsidP="00F74A71">
      <w:pPr>
        <w:pStyle w:val="ListParagraph"/>
        <w:numPr>
          <w:ilvl w:val="0"/>
          <w:numId w:val="17"/>
        </w:numPr>
      </w:pPr>
      <w:r>
        <w:t xml:space="preserve">Review lessons learned on significant under / overspends and ensure these are appropriately embedded in the </w:t>
      </w:r>
      <w:proofErr w:type="gramStart"/>
      <w:r>
        <w:t>Institution</w:t>
      </w:r>
      <w:proofErr w:type="gramEnd"/>
    </w:p>
    <w:p w14:paraId="1EA6C922" w14:textId="43616785" w:rsidR="00192CC4" w:rsidRPr="00D23F93" w:rsidRDefault="00004E48" w:rsidP="00192CC4">
      <w:pPr>
        <w:rPr>
          <w:b/>
          <w:bCs/>
        </w:rPr>
      </w:pPr>
      <w:r>
        <w:rPr>
          <w:b/>
          <w:bCs/>
        </w:rPr>
        <w:t>Benefits Management</w:t>
      </w:r>
    </w:p>
    <w:p w14:paraId="5F322547" w14:textId="3F516D12" w:rsidR="00004E48" w:rsidRDefault="00004E48" w:rsidP="00004E48">
      <w:pPr>
        <w:pStyle w:val="ListParagraph"/>
        <w:numPr>
          <w:ilvl w:val="0"/>
          <w:numId w:val="17"/>
        </w:numPr>
      </w:pPr>
      <w:r>
        <w:t>Tracking of benefits from original investment through to realisation</w:t>
      </w:r>
    </w:p>
    <w:p w14:paraId="5C97E9AE" w14:textId="76AC38CC" w:rsidR="00192CC4" w:rsidRDefault="00004E48">
      <w:pPr>
        <w:pStyle w:val="ListParagraph"/>
        <w:numPr>
          <w:ilvl w:val="0"/>
          <w:numId w:val="17"/>
        </w:numPr>
      </w:pPr>
      <w:r>
        <w:t xml:space="preserve">Conduct post investment reviews to confirm benefits realisation v plan and ensure lessons learned are embedded in the </w:t>
      </w:r>
      <w:proofErr w:type="gramStart"/>
      <w:r>
        <w:t>Institution</w:t>
      </w:r>
      <w:proofErr w:type="gramEnd"/>
    </w:p>
    <w:p w14:paraId="180E2226" w14:textId="25E0CE75" w:rsidR="00FC7D61" w:rsidRPr="00D23F93" w:rsidRDefault="00004E48" w:rsidP="00FC7D61">
      <w:pPr>
        <w:rPr>
          <w:b/>
          <w:bCs/>
        </w:rPr>
      </w:pPr>
      <w:r>
        <w:rPr>
          <w:b/>
          <w:bCs/>
        </w:rPr>
        <w:t>I</w:t>
      </w:r>
      <w:r w:rsidR="00192CC4">
        <w:rPr>
          <w:b/>
          <w:bCs/>
        </w:rPr>
        <w:t>nvestment plans</w:t>
      </w:r>
    </w:p>
    <w:p w14:paraId="6874D8BB" w14:textId="19DBF368" w:rsidR="001168B5" w:rsidRDefault="00004E48" w:rsidP="001168B5">
      <w:pPr>
        <w:pStyle w:val="ListParagraph"/>
        <w:numPr>
          <w:ilvl w:val="0"/>
          <w:numId w:val="17"/>
        </w:numPr>
      </w:pPr>
      <w:r>
        <w:t xml:space="preserve">Review and approval of investment budget levels and plans as part of the annual budget and planning </w:t>
      </w:r>
      <w:proofErr w:type="gramStart"/>
      <w:r>
        <w:t>process</w:t>
      </w:r>
      <w:proofErr w:type="gramEnd"/>
    </w:p>
    <w:p w14:paraId="57440B5D" w14:textId="1593D8DB" w:rsidR="001168B5" w:rsidRDefault="00004E48" w:rsidP="00FC7D61">
      <w:pPr>
        <w:pStyle w:val="ListParagraph"/>
        <w:numPr>
          <w:ilvl w:val="0"/>
          <w:numId w:val="17"/>
        </w:numPr>
      </w:pPr>
      <w:r>
        <w:lastRenderedPageBreak/>
        <w:t xml:space="preserve">Review and approval of </w:t>
      </w:r>
      <w:proofErr w:type="gramStart"/>
      <w:r>
        <w:t>long term</w:t>
      </w:r>
      <w:proofErr w:type="gramEnd"/>
      <w:r>
        <w:t xml:space="preserve"> investment plans and levels </w:t>
      </w:r>
      <w:r w:rsidR="00F43E95">
        <w:t>as part of periodic reviews by SMG and Finance Committee (typically every January)</w:t>
      </w:r>
    </w:p>
    <w:p w14:paraId="1283057C" w14:textId="360FDDF6" w:rsidR="00192CC4" w:rsidRPr="00D23F93" w:rsidRDefault="00F43E95" w:rsidP="00F74A71">
      <w:pPr>
        <w:ind w:left="360"/>
        <w:rPr>
          <w:b/>
          <w:bCs/>
        </w:rPr>
      </w:pPr>
      <w:r w:rsidRPr="00F74A71">
        <w:rPr>
          <w:b/>
          <w:bCs/>
        </w:rPr>
        <w:t>C</w:t>
      </w:r>
      <w:r w:rsidR="00192CC4" w:rsidRPr="00F43E95">
        <w:rPr>
          <w:b/>
          <w:bCs/>
        </w:rPr>
        <w:t>u</w:t>
      </w:r>
      <w:r w:rsidR="00192CC4">
        <w:rPr>
          <w:b/>
          <w:bCs/>
        </w:rPr>
        <w:t>lture</w:t>
      </w:r>
    </w:p>
    <w:p w14:paraId="26D42334" w14:textId="42292B18" w:rsidR="00F43E95" w:rsidRDefault="00F43E95" w:rsidP="00F43E95">
      <w:pPr>
        <w:pStyle w:val="ListParagraph"/>
        <w:numPr>
          <w:ilvl w:val="0"/>
          <w:numId w:val="17"/>
        </w:numPr>
      </w:pPr>
      <w:r>
        <w:t xml:space="preserve">Encourage investment ideas across the institution to leverage collective wisdom and maximise impact for the </w:t>
      </w:r>
      <w:proofErr w:type="gramStart"/>
      <w:r>
        <w:t>Institution</w:t>
      </w:r>
      <w:proofErr w:type="gramEnd"/>
    </w:p>
    <w:p w14:paraId="4067195A" w14:textId="1FEABDE7" w:rsidR="00F43E95" w:rsidRDefault="00F43E95" w:rsidP="00F43E95">
      <w:pPr>
        <w:pStyle w:val="ListParagraph"/>
        <w:numPr>
          <w:ilvl w:val="0"/>
          <w:numId w:val="17"/>
        </w:numPr>
      </w:pPr>
      <w:r>
        <w:t xml:space="preserve">Encourage focus on benefits, strategic thinking and </w:t>
      </w:r>
      <w:proofErr w:type="gramStart"/>
      <w:r>
        <w:t>impact</w:t>
      </w:r>
      <w:proofErr w:type="gramEnd"/>
    </w:p>
    <w:p w14:paraId="3D2FC56C" w14:textId="60B22B22" w:rsidR="00192CC4" w:rsidRDefault="00192CC4" w:rsidP="00F74A71"/>
    <w:bookmarkEnd w:id="2"/>
    <w:bookmarkEnd w:id="3"/>
    <w:p w14:paraId="31700613" w14:textId="77777777" w:rsidR="00033D36" w:rsidRDefault="00033D36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14:paraId="2F408009" w14:textId="458599F4" w:rsidR="00033D36" w:rsidRDefault="00033D36" w:rsidP="00996618">
      <w:pPr>
        <w:pStyle w:val="Heading1"/>
      </w:pPr>
      <w:r>
        <w:lastRenderedPageBreak/>
        <w:t>Scheme of Delegation</w:t>
      </w:r>
    </w:p>
    <w:p w14:paraId="587CAF49" w14:textId="5B06FFDE" w:rsidR="00033D36" w:rsidRDefault="00033D36" w:rsidP="00033D36">
      <w:bookmarkStart w:id="4" w:name="OLE_LINK84"/>
      <w:bookmarkStart w:id="5" w:name="OLE_LINK85"/>
      <w:r>
        <w:t xml:space="preserve">The following diagram shows the delegated authority for the </w:t>
      </w:r>
      <w:r w:rsidR="009B4878">
        <w:t>IC</w:t>
      </w:r>
      <w:r>
        <w:t xml:space="preserve"> and shows how it is placed in the overall University Scheme of Delegation with escalation to Finance, Estates or Information Policy and Strategy Committees: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889"/>
        <w:gridCol w:w="3071"/>
        <w:gridCol w:w="1812"/>
      </w:tblGrid>
      <w:tr w:rsidR="00F43E95" w:rsidRPr="004C16D2" w14:paraId="04661A42" w14:textId="77777777" w:rsidTr="001F509B">
        <w:trPr>
          <w:trHeight w:val="280"/>
        </w:trPr>
        <w:tc>
          <w:tcPr>
            <w:tcW w:w="0" w:type="auto"/>
            <w:shd w:val="clear" w:color="auto" w:fill="003865"/>
            <w:vAlign w:val="center"/>
          </w:tcPr>
          <w:p w14:paraId="0AF195B3" w14:textId="6AC88BDF" w:rsidR="00FC7D61" w:rsidRPr="001F509B" w:rsidRDefault="00FC7D61" w:rsidP="004C16D2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bookmarkStart w:id="6" w:name="_Hlk79591497"/>
            <w:r w:rsidRPr="001F509B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0" w:type="auto"/>
            <w:shd w:val="clear" w:color="auto" w:fill="003865"/>
            <w:vAlign w:val="center"/>
          </w:tcPr>
          <w:p w14:paraId="7508E648" w14:textId="678CB71E" w:rsidR="000E297B" w:rsidRPr="001F509B" w:rsidRDefault="000E297B" w:rsidP="000E297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0" w:type="auto"/>
            <w:shd w:val="clear" w:color="auto" w:fill="003865"/>
            <w:vAlign w:val="center"/>
          </w:tcPr>
          <w:p w14:paraId="71774AB8" w14:textId="10FF2683" w:rsidR="00FC7D61" w:rsidRPr="001F509B" w:rsidRDefault="000E297B" w:rsidP="004C16D2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0" w:type="auto"/>
            <w:shd w:val="clear" w:color="auto" w:fill="003865"/>
            <w:vAlign w:val="center"/>
          </w:tcPr>
          <w:p w14:paraId="5B5C70F4" w14:textId="5F59C94D" w:rsidR="00FC7D61" w:rsidRPr="001F509B" w:rsidRDefault="00FC7D61" w:rsidP="004C16D2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F509B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Escalation To</w:t>
            </w:r>
          </w:p>
        </w:tc>
      </w:tr>
      <w:tr w:rsidR="00F43E95" w:rsidRPr="004C16D2" w14:paraId="37FCD773" w14:textId="77777777" w:rsidTr="001F509B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14:paraId="7F3500EE" w14:textId="52123C8F" w:rsidR="00F43E95" w:rsidRPr="004C16D2" w:rsidRDefault="00F43E95" w:rsidP="00F43E95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bookmarkStart w:id="7" w:name="_Hlk79591485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Review and approve expenditure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D6F61" w14:textId="77777777" w:rsidR="00F43E95" w:rsidRDefault="00F43E95" w:rsidP="00F43E9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&gt;£0.5m</w:t>
            </w:r>
          </w:p>
          <w:p w14:paraId="3892D793" w14:textId="5525507B" w:rsidR="00F43E95" w:rsidRPr="004C16D2" w:rsidRDefault="00F43E95" w:rsidP="00F43E9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4F5DF" w14:textId="77777777" w:rsidR="00F43E95" w:rsidRPr="004C16D2" w:rsidRDefault="00F43E95" w:rsidP="00F43E9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C16D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Executive Director of Finance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936ED" w14:textId="20AA18BC" w:rsidR="00F43E95" w:rsidRPr="004C16D2" w:rsidRDefault="00F43E95" w:rsidP="00F43E9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43E95" w:rsidRPr="004C16D2" w14:paraId="3131B13A" w14:textId="77777777" w:rsidTr="001F509B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14:paraId="79E216D6" w14:textId="3883B585" w:rsidR="00F43E95" w:rsidRPr="004C16D2" w:rsidRDefault="00F43E95" w:rsidP="00F43E95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Advise Finance Committee on expenditure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514B1" w14:textId="7A201BED" w:rsidR="00F43E95" w:rsidRPr="004C16D2" w:rsidRDefault="00F43E95" w:rsidP="00F43E9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&gt;£3m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798BF" w14:textId="77777777" w:rsidR="00F43E95" w:rsidRPr="004C16D2" w:rsidRDefault="00F43E95" w:rsidP="00F43E9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C16D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Executive Director of Finance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021E9" w14:textId="77777777" w:rsidR="00F43E95" w:rsidRPr="004C16D2" w:rsidRDefault="00F43E95" w:rsidP="00F43E9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C16D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</w:t>
            </w:r>
          </w:p>
        </w:tc>
      </w:tr>
      <w:tr w:rsidR="00F43E95" w:rsidRPr="004C16D2" w14:paraId="3ABD0C78" w14:textId="77777777" w:rsidTr="001F509B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14:paraId="5A68BFC8" w14:textId="3CDC42F7" w:rsidR="00FC7D61" w:rsidRPr="004C16D2" w:rsidRDefault="00F43E95" w:rsidP="004C16D2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Advise Finance Committee on variances on individual project budgets</w:t>
            </w:r>
            <w:r w:rsidRPr="004C16D2" w:rsidDel="00F43E9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2E706" w14:textId="6901DEE9" w:rsidR="00FC7D61" w:rsidRPr="004C16D2" w:rsidRDefault="00F43E95" w:rsidP="004C16D2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&gt;£0.5m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599EF" w14:textId="77777777" w:rsidR="00FC7D61" w:rsidRPr="004C16D2" w:rsidRDefault="00FC7D61" w:rsidP="004C16D2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C16D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Executive Director of Finance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F35BA" w14:textId="77777777" w:rsidR="00FC7D61" w:rsidRPr="004C16D2" w:rsidRDefault="00FC7D61" w:rsidP="004C16D2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C16D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</w:t>
            </w:r>
          </w:p>
        </w:tc>
      </w:tr>
    </w:tbl>
    <w:bookmarkEnd w:id="4"/>
    <w:bookmarkEnd w:id="5"/>
    <w:bookmarkEnd w:id="6"/>
    <w:bookmarkEnd w:id="7"/>
    <w:p w14:paraId="115CC85E" w14:textId="471C52CB" w:rsidR="00C83D06" w:rsidRDefault="007E7009" w:rsidP="00996618">
      <w:pPr>
        <w:pStyle w:val="Heading1"/>
      </w:pPr>
      <w:r>
        <w:t>Committee</w:t>
      </w:r>
      <w:r w:rsidR="4BBA1134">
        <w:t xml:space="preserve"> Membership</w:t>
      </w:r>
    </w:p>
    <w:p w14:paraId="466A01B9" w14:textId="07C73193" w:rsidR="002566FB" w:rsidRDefault="00B83561" w:rsidP="002566FB">
      <w:bookmarkStart w:id="8" w:name="OLE_LINK86"/>
      <w:bookmarkStart w:id="9" w:name="OLE_LINK87"/>
      <w:r>
        <w:t>Th</w:t>
      </w:r>
      <w:r w:rsidR="00445EDF">
        <w:t>is is an executive led committee with the following membership:</w:t>
      </w:r>
    </w:p>
    <w:p w14:paraId="33FE39E4" w14:textId="77777777" w:rsidR="00445EDF" w:rsidRPr="00445EDF" w:rsidRDefault="00445EDF" w:rsidP="00445EDF">
      <w:pPr>
        <w:pStyle w:val="ListParagraph"/>
        <w:numPr>
          <w:ilvl w:val="0"/>
          <w:numId w:val="17"/>
        </w:numPr>
      </w:pPr>
      <w:r w:rsidRPr="00445EDF">
        <w:t>Deputy Vice-Chancellor &amp; Senior Vice Principal (Chair)</w:t>
      </w:r>
    </w:p>
    <w:p w14:paraId="3AFFB133" w14:textId="77777777" w:rsidR="00445EDF" w:rsidRPr="00445EDF" w:rsidRDefault="00445EDF" w:rsidP="00445EDF">
      <w:pPr>
        <w:pStyle w:val="ListParagraph"/>
        <w:numPr>
          <w:ilvl w:val="0"/>
          <w:numId w:val="17"/>
        </w:numPr>
      </w:pPr>
      <w:r w:rsidRPr="00445EDF">
        <w:t>Chief Operating Officer</w:t>
      </w:r>
    </w:p>
    <w:p w14:paraId="2530D57E" w14:textId="77777777" w:rsidR="00445EDF" w:rsidRPr="00445EDF" w:rsidRDefault="00445EDF" w:rsidP="00445EDF">
      <w:pPr>
        <w:pStyle w:val="ListParagraph"/>
        <w:numPr>
          <w:ilvl w:val="0"/>
          <w:numId w:val="17"/>
        </w:numPr>
      </w:pPr>
      <w:r w:rsidRPr="00445EDF">
        <w:t>Executive Director of Finance</w:t>
      </w:r>
    </w:p>
    <w:p w14:paraId="200D6AE5" w14:textId="1676F21B" w:rsidR="00727574" w:rsidRDefault="00727574" w:rsidP="00727574">
      <w:r>
        <w:t>In attendance</w:t>
      </w:r>
    </w:p>
    <w:p w14:paraId="612257CA" w14:textId="03109968" w:rsidR="00F43E95" w:rsidRDefault="00F43E95" w:rsidP="00F43E95">
      <w:pPr>
        <w:pStyle w:val="ListParagraph"/>
        <w:numPr>
          <w:ilvl w:val="0"/>
          <w:numId w:val="17"/>
        </w:numPr>
      </w:pPr>
      <w:r>
        <w:t>Executive Director of HR</w:t>
      </w:r>
    </w:p>
    <w:p w14:paraId="1422E239" w14:textId="0EAB6A86" w:rsidR="00F43E95" w:rsidRPr="00445EDF" w:rsidRDefault="00F43E95" w:rsidP="00F43E95">
      <w:pPr>
        <w:pStyle w:val="ListParagraph"/>
        <w:numPr>
          <w:ilvl w:val="0"/>
          <w:numId w:val="17"/>
        </w:numPr>
      </w:pPr>
      <w:r w:rsidRPr="00445EDF">
        <w:t>Executive Director of Estates</w:t>
      </w:r>
    </w:p>
    <w:p w14:paraId="194D7230" w14:textId="77777777" w:rsidR="00F43E95" w:rsidRPr="00445EDF" w:rsidRDefault="00F43E95" w:rsidP="00F43E95">
      <w:pPr>
        <w:pStyle w:val="ListParagraph"/>
        <w:numPr>
          <w:ilvl w:val="0"/>
          <w:numId w:val="17"/>
        </w:numPr>
      </w:pPr>
      <w:r w:rsidRPr="00445EDF">
        <w:t>Executive Director of Information Services</w:t>
      </w:r>
    </w:p>
    <w:p w14:paraId="5A47EB83" w14:textId="38CE0567" w:rsidR="00F43E95" w:rsidRDefault="00F43E95" w:rsidP="00F42463">
      <w:pPr>
        <w:pStyle w:val="ListParagraph"/>
        <w:numPr>
          <w:ilvl w:val="0"/>
          <w:numId w:val="17"/>
        </w:numPr>
      </w:pPr>
      <w:r>
        <w:t>Deputy Director of Finance</w:t>
      </w:r>
    </w:p>
    <w:p w14:paraId="09B950AF" w14:textId="6CB0EB83" w:rsidR="00F42463" w:rsidRDefault="00727574" w:rsidP="00F42463">
      <w:pPr>
        <w:pStyle w:val="ListParagraph"/>
        <w:numPr>
          <w:ilvl w:val="0"/>
          <w:numId w:val="17"/>
        </w:numPr>
      </w:pPr>
      <w:r>
        <w:t>S</w:t>
      </w:r>
      <w:r w:rsidR="00445EDF">
        <w:t>upported by professional staff in Estates and Information Services including relevant Heads of Finance and Programme Management Offices</w:t>
      </w:r>
    </w:p>
    <w:bookmarkEnd w:id="8"/>
    <w:bookmarkEnd w:id="9"/>
    <w:p w14:paraId="4887AD7E" w14:textId="77777777" w:rsidR="00160D2F" w:rsidRDefault="00160D2F" w:rsidP="00996618">
      <w:pPr>
        <w:pStyle w:val="Heading1"/>
      </w:pPr>
      <w:r>
        <w:t>Substitutions and Quorum</w:t>
      </w:r>
    </w:p>
    <w:p w14:paraId="070E3EB0" w14:textId="6F69DE24" w:rsidR="00160D2F" w:rsidRPr="00F42463" w:rsidRDefault="00160D2F" w:rsidP="00160D2F">
      <w:r>
        <w:t xml:space="preserve">Substitutions may be made with prior notice given to the clerk. There must be a minimum of </w:t>
      </w:r>
      <w:r w:rsidR="00F6293E">
        <w:t>3</w:t>
      </w:r>
      <w:r>
        <w:t xml:space="preserve"> from the core group (excluding clerk) in attendance for decisions or approvals. In the event of a consensus not being reached, </w:t>
      </w:r>
      <w:r w:rsidR="00EA16CE">
        <w:t xml:space="preserve">investments will only progress with the approval of </w:t>
      </w:r>
      <w:r>
        <w:t xml:space="preserve">the </w:t>
      </w:r>
      <w:r w:rsidR="00F43E95">
        <w:t>Executive Director of Finance</w:t>
      </w:r>
      <w:r>
        <w:t>.</w:t>
      </w:r>
    </w:p>
    <w:p w14:paraId="7320D20C" w14:textId="77777777" w:rsidR="00523D38" w:rsidRDefault="00523D38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14:paraId="4426FB79" w14:textId="5BA6DE27" w:rsidR="00A922A0" w:rsidRDefault="006D3872" w:rsidP="00996618">
      <w:pPr>
        <w:pStyle w:val="Heading1"/>
      </w:pPr>
      <w:r>
        <w:lastRenderedPageBreak/>
        <w:t>Committee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769EAAA5" w:rsidR="00263FE1" w:rsidRDefault="00AE382E" w:rsidP="00263FE1">
      <w:bookmarkStart w:id="10" w:name="OLE_LINK88"/>
      <w:bookmarkStart w:id="11" w:name="OLE_LINK89"/>
      <w:r>
        <w:t xml:space="preserve">Each Committee </w:t>
      </w:r>
      <w:r w:rsidR="006D3872">
        <w:t>member has a</w:t>
      </w:r>
      <w:r w:rsidR="003D34AE">
        <w:t xml:space="preserve"> fiduciary</w:t>
      </w:r>
      <w:r w:rsidR="006D3872">
        <w:t xml:space="preserve"> responsibility to:</w:t>
      </w:r>
    </w:p>
    <w:p w14:paraId="4ABE4C1A" w14:textId="207172D6" w:rsidR="002566FB" w:rsidRDefault="003F129E" w:rsidP="002566FB">
      <w:pPr>
        <w:pStyle w:val="ListParagraph"/>
        <w:numPr>
          <w:ilvl w:val="0"/>
          <w:numId w:val="11"/>
        </w:numPr>
      </w:pPr>
      <w:r>
        <w:t>Ensure all investments are in</w:t>
      </w:r>
      <w:r w:rsidR="00FA50EA">
        <w:t xml:space="preserve"> </w:t>
      </w:r>
      <w:r w:rsidR="47FE4DBD">
        <w:t xml:space="preserve">line with </w:t>
      </w:r>
      <w:r>
        <w:t>University</w:t>
      </w:r>
      <w:r w:rsidR="00AB3B53">
        <w:t xml:space="preserve"> </w:t>
      </w:r>
      <w:r w:rsidR="6E823DB9">
        <w:t>St</w:t>
      </w:r>
      <w:r w:rsidR="00FA50EA">
        <w:t>ra</w:t>
      </w:r>
      <w:r w:rsidR="6E823DB9">
        <w:t>tegies &amp; Policies</w:t>
      </w:r>
    </w:p>
    <w:p w14:paraId="012E6CCD" w14:textId="4B26F9C2" w:rsidR="00A96B18" w:rsidRDefault="003F129E" w:rsidP="00263FE1">
      <w:pPr>
        <w:pStyle w:val="ListParagraph"/>
        <w:numPr>
          <w:ilvl w:val="0"/>
          <w:numId w:val="11"/>
        </w:numPr>
      </w:pPr>
      <w:r>
        <w:t xml:space="preserve">Agree on the </w:t>
      </w:r>
      <w:r w:rsidR="00A00E77">
        <w:t xml:space="preserve">achievability of </w:t>
      </w:r>
      <w:r w:rsidR="00C32831">
        <w:t xml:space="preserve">business cases, plans and </w:t>
      </w:r>
      <w:proofErr w:type="gramStart"/>
      <w:r w:rsidR="00C32831">
        <w:t>roadmaps</w:t>
      </w:r>
      <w:proofErr w:type="gramEnd"/>
    </w:p>
    <w:p w14:paraId="6BAD907A" w14:textId="7300A297" w:rsidR="00560DF7" w:rsidRDefault="003D60E4" w:rsidP="00D80BB8">
      <w:pPr>
        <w:pStyle w:val="ListParagraph"/>
        <w:numPr>
          <w:ilvl w:val="0"/>
          <w:numId w:val="11"/>
        </w:numPr>
      </w:pPr>
      <w:r>
        <w:t xml:space="preserve">Openly and constructively </w:t>
      </w:r>
      <w:r w:rsidR="006A36FE">
        <w:t>challenge</w:t>
      </w:r>
      <w:r w:rsidR="00B93B22">
        <w:t xml:space="preserve"> where investments do not meet key criteria for regulatory, business continuity and </w:t>
      </w:r>
      <w:r w:rsidR="00710474">
        <w:t>strate</w:t>
      </w:r>
      <w:r w:rsidR="00F001C9">
        <w:t>gic investments</w:t>
      </w:r>
      <w:r w:rsidR="00545C83">
        <w:t>.</w:t>
      </w:r>
      <w:r w:rsidR="00545C83" w:rsidRPr="00545C83">
        <w:t xml:space="preserve"> </w:t>
      </w:r>
      <w:r w:rsidR="00545C83">
        <w:t xml:space="preserve"> Investment applications should ordinarily have received input from the relevant head of service or College prior to submission.</w:t>
      </w:r>
    </w:p>
    <w:p w14:paraId="37BE429C" w14:textId="37F8BFDE" w:rsidR="00F001C9" w:rsidRDefault="00F001C9" w:rsidP="00D80BB8">
      <w:pPr>
        <w:pStyle w:val="ListParagraph"/>
        <w:numPr>
          <w:ilvl w:val="0"/>
          <w:numId w:val="11"/>
        </w:numPr>
      </w:pPr>
      <w:r>
        <w:t xml:space="preserve">Take ownership for specific </w:t>
      </w:r>
      <w:r w:rsidR="003F494A">
        <w:t>actions and risks</w:t>
      </w:r>
      <w:r w:rsidR="001D4C30">
        <w:t xml:space="preserve"> in the </w:t>
      </w:r>
      <w:r w:rsidR="009B4878">
        <w:t>IC</w:t>
      </w:r>
      <w:r w:rsidR="001D4C30">
        <w:t xml:space="preserve"> Action and Risk Logs.  All actions </w:t>
      </w:r>
      <w:r w:rsidR="0052494C">
        <w:t xml:space="preserve">and risks </w:t>
      </w:r>
      <w:r w:rsidR="001D4C30">
        <w:t xml:space="preserve">must have a </w:t>
      </w:r>
      <w:proofErr w:type="gramStart"/>
      <w:r w:rsidR="001D4C30">
        <w:t>Committee</w:t>
      </w:r>
      <w:proofErr w:type="gramEnd"/>
      <w:r w:rsidR="001D4C30">
        <w:t xml:space="preserve"> member as overall </w:t>
      </w:r>
      <w:r w:rsidR="006518F0">
        <w:t>owner</w:t>
      </w:r>
    </w:p>
    <w:p w14:paraId="06114CF4" w14:textId="2BA6FAB7" w:rsidR="006518F0" w:rsidRDefault="003F494A">
      <w:pPr>
        <w:pStyle w:val="ListParagraph"/>
        <w:numPr>
          <w:ilvl w:val="0"/>
          <w:numId w:val="11"/>
        </w:numPr>
      </w:pPr>
      <w:r>
        <w:t>Where appropriate, mentor and support specific</w:t>
      </w:r>
      <w:r w:rsidR="006518F0">
        <w:t xml:space="preserve"> investments including development of business cases and remediation of investments that are at a red status</w:t>
      </w:r>
      <w:r w:rsidR="000B2FDF">
        <w:t xml:space="preserve">.  </w:t>
      </w:r>
    </w:p>
    <w:p w14:paraId="54293A55" w14:textId="6814A4A5" w:rsidR="00E1426A" w:rsidRPr="00893250" w:rsidRDefault="00893250" w:rsidP="00893250">
      <w:pPr>
        <w:pStyle w:val="ListParagraph"/>
        <w:numPr>
          <w:ilvl w:val="0"/>
          <w:numId w:val="11"/>
        </w:numPr>
      </w:pPr>
      <w:bookmarkStart w:id="12" w:name="OLE_LINK1"/>
      <w:bookmarkStart w:id="13" w:name="OLE_LINK2"/>
      <w:r>
        <w:t>A</w:t>
      </w:r>
      <w:r w:rsidR="00E1426A" w:rsidRPr="00E1426A">
        <w:t>ctivity and behaviour should embody the University’s values (</w:t>
      </w:r>
      <w:hyperlink r:id="rId12" w:history="1">
        <w:r w:rsidR="00C30817" w:rsidRPr="00893250">
          <w:rPr>
            <w:rStyle w:val="Hyperlink"/>
            <w:color w:val="0070C0"/>
          </w:rPr>
          <w:t>click here for details</w:t>
        </w:r>
      </w:hyperlink>
      <w:r w:rsidR="00E1426A" w:rsidRPr="00E1426A">
        <w:t>)</w:t>
      </w:r>
    </w:p>
    <w:bookmarkEnd w:id="10"/>
    <w:bookmarkEnd w:id="11"/>
    <w:bookmarkEnd w:id="12"/>
    <w:bookmarkEnd w:id="13"/>
    <w:p w14:paraId="1B410013" w14:textId="2EAF1824" w:rsidR="003070C4" w:rsidRPr="00476FC2" w:rsidRDefault="136C794D" w:rsidP="00996618">
      <w:pPr>
        <w:pStyle w:val="Heading1"/>
      </w:pPr>
      <w:r>
        <w:t>Conflict of Interest</w:t>
      </w:r>
    </w:p>
    <w:p w14:paraId="3F0E1B7A" w14:textId="7887C58C" w:rsidR="003070C4" w:rsidRDefault="003070C4" w:rsidP="00D80BB8">
      <w:r w:rsidRPr="005566AF">
        <w:t xml:space="preserve">The </w:t>
      </w:r>
      <w:r w:rsidR="009B4878">
        <w:t>IC</w:t>
      </w:r>
      <w:r w:rsidRPr="005566AF">
        <w:t xml:space="preserve"> will follow the </w:t>
      </w:r>
      <w:r w:rsidR="0005567D">
        <w:t xml:space="preserve">UofG </w:t>
      </w:r>
      <w:r w:rsidRPr="005566AF">
        <w:t>procedure for the management of any conflicts</w:t>
      </w:r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01DA827E" w:rsidR="007E2045" w:rsidRDefault="4156BD67" w:rsidP="00996618">
      <w:pPr>
        <w:pStyle w:val="Heading1"/>
      </w:pPr>
      <w:r>
        <w:t>Format and cadence</w:t>
      </w:r>
    </w:p>
    <w:p w14:paraId="5285D1DF" w14:textId="12B299B8" w:rsidR="00CA4C33" w:rsidRDefault="00D93B1E">
      <w:bookmarkStart w:id="14" w:name="OLE_LINK90"/>
      <w:bookmarkStart w:id="15" w:name="OLE_LINK91"/>
      <w:r>
        <w:t>The meeting schedule will be every</w:t>
      </w:r>
      <w:r w:rsidR="005C1CF1">
        <w:t xml:space="preserve"> month</w:t>
      </w:r>
      <w:r w:rsidR="007306AA">
        <w:t xml:space="preserve">, with longer or </w:t>
      </w:r>
      <w:r w:rsidR="007306AA" w:rsidRPr="00D76190">
        <w:rPr>
          <w:i/>
          <w:iCs/>
        </w:rPr>
        <w:t>ad</w:t>
      </w:r>
      <w:r w:rsidR="00D76190" w:rsidRPr="00D76190">
        <w:rPr>
          <w:i/>
          <w:iCs/>
        </w:rPr>
        <w:t xml:space="preserve"> </w:t>
      </w:r>
      <w:r w:rsidR="007306AA" w:rsidRPr="00D76190">
        <w:rPr>
          <w:i/>
          <w:iCs/>
        </w:rPr>
        <w:t>hoc</w:t>
      </w:r>
      <w:r w:rsidR="007306AA">
        <w:t xml:space="preserve"> meetings where required to support the annual budget cycle and review of </w:t>
      </w:r>
      <w:proofErr w:type="gramStart"/>
      <w:r w:rsidR="007306AA">
        <w:t>long term</w:t>
      </w:r>
      <w:proofErr w:type="gramEnd"/>
      <w:r w:rsidR="007306AA">
        <w:t xml:space="preserve"> investment plans</w:t>
      </w:r>
      <w:r w:rsidR="005C1CF1">
        <w:t xml:space="preserve"> 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1BAF9C0A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>UofG strategy and plan</w:t>
      </w:r>
    </w:p>
    <w:p w14:paraId="3B01F48A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>Functional strategies and plans</w:t>
      </w:r>
    </w:p>
    <w:p w14:paraId="44C27E71" w14:textId="13C2684F" w:rsidR="007306AA" w:rsidRDefault="007306AA" w:rsidP="000B5E4C">
      <w:pPr>
        <w:numPr>
          <w:ilvl w:val="0"/>
          <w:numId w:val="20"/>
        </w:numPr>
      </w:pPr>
      <w:r>
        <w:t xml:space="preserve">Cost reports and benefits logs provided by </w:t>
      </w:r>
      <w:proofErr w:type="gramStart"/>
      <w:r>
        <w:t>Finance</w:t>
      </w:r>
      <w:proofErr w:type="gramEnd"/>
    </w:p>
    <w:p w14:paraId="550F21DB" w14:textId="16B8A5EF" w:rsidR="000B5E4C" w:rsidRPr="000B5E4C" w:rsidRDefault="000B5E4C" w:rsidP="000B5E4C">
      <w:pPr>
        <w:numPr>
          <w:ilvl w:val="0"/>
          <w:numId w:val="20"/>
        </w:numPr>
      </w:pPr>
      <w:r w:rsidRPr="000B5E4C">
        <w:t>Management information provided by Planning Insights &amp; Analytics</w:t>
      </w:r>
    </w:p>
    <w:p w14:paraId="4092B297" w14:textId="6506DEC2" w:rsidR="000B5E4C" w:rsidRPr="000B5E4C" w:rsidRDefault="007306AA" w:rsidP="000B5E4C">
      <w:pPr>
        <w:numPr>
          <w:ilvl w:val="0"/>
          <w:numId w:val="20"/>
        </w:numPr>
      </w:pPr>
      <w:r>
        <w:t>Investment plans</w:t>
      </w:r>
    </w:p>
    <w:p w14:paraId="56DA1123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 xml:space="preserve">Portfolio Investment breakdown split by financial year and </w:t>
      </w:r>
      <w:proofErr w:type="gramStart"/>
      <w:r w:rsidRPr="000B5E4C">
        <w:t>function</w:t>
      </w:r>
      <w:proofErr w:type="gramEnd"/>
    </w:p>
    <w:p w14:paraId="06D05418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>Investment Health Summary</w:t>
      </w:r>
    </w:p>
    <w:p w14:paraId="0136D12C" w14:textId="39460F6A" w:rsidR="000B5E4C" w:rsidRPr="000B5E4C" w:rsidRDefault="000B5E4C" w:rsidP="000B5E4C">
      <w:pPr>
        <w:numPr>
          <w:ilvl w:val="0"/>
          <w:numId w:val="20"/>
        </w:numPr>
      </w:pPr>
      <w:r w:rsidRPr="000B5E4C">
        <w:t>Investment Business Cases/Proposals</w:t>
      </w:r>
      <w:r w:rsidR="00780802">
        <w:t>/Change Requests</w:t>
      </w:r>
      <w:r w:rsidRPr="000B5E4C">
        <w:t xml:space="preserve"> to be </w:t>
      </w:r>
      <w:proofErr w:type="gramStart"/>
      <w:r w:rsidRPr="000B5E4C">
        <w:t>presented</w:t>
      </w:r>
      <w:proofErr w:type="gramEnd"/>
    </w:p>
    <w:p w14:paraId="2F033E28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 xml:space="preserve">Summary of changes made to action </w:t>
      </w:r>
      <w:proofErr w:type="gramStart"/>
      <w:r w:rsidRPr="000B5E4C">
        <w:t>log</w:t>
      </w:r>
      <w:proofErr w:type="gramEnd"/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4AFC7AB7" w14:textId="77777777" w:rsidR="000B5E4C" w:rsidRPr="000B5E4C" w:rsidRDefault="000B5E4C" w:rsidP="000B5E4C">
      <w:pPr>
        <w:numPr>
          <w:ilvl w:val="0"/>
          <w:numId w:val="21"/>
        </w:numPr>
      </w:pPr>
      <w:r w:rsidRPr="000B5E4C">
        <w:t>Decision Log</w:t>
      </w:r>
    </w:p>
    <w:p w14:paraId="52FC9176" w14:textId="24285819" w:rsidR="000B5E4C" w:rsidRDefault="000B5E4C" w:rsidP="000B5E4C">
      <w:pPr>
        <w:numPr>
          <w:ilvl w:val="0"/>
          <w:numId w:val="21"/>
        </w:numPr>
      </w:pPr>
      <w:r w:rsidRPr="000B5E4C">
        <w:t>Action Log</w:t>
      </w:r>
    </w:p>
    <w:p w14:paraId="70D5E0DE" w14:textId="591A98C2" w:rsidR="005E4BE6" w:rsidRDefault="007306AA">
      <w:pPr>
        <w:numPr>
          <w:ilvl w:val="0"/>
          <w:numId w:val="21"/>
        </w:numPr>
      </w:pPr>
      <w:r>
        <w:t>Benefits Log</w:t>
      </w:r>
      <w:bookmarkEnd w:id="14"/>
      <w:bookmarkEnd w:id="15"/>
    </w:p>
    <w:p w14:paraId="6C63364C" w14:textId="00DBBD87" w:rsidR="00F74A71" w:rsidRPr="005E4BE6" w:rsidRDefault="00F74A71">
      <w:pPr>
        <w:numPr>
          <w:ilvl w:val="0"/>
          <w:numId w:val="21"/>
        </w:numPr>
      </w:pPr>
      <w:r>
        <w:t>Minutes</w:t>
      </w:r>
    </w:p>
    <w:sectPr w:rsidR="00F74A71" w:rsidRPr="005E4BE6" w:rsidSect="00841D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BDE3" w14:textId="77777777" w:rsidR="00841D11" w:rsidRDefault="00841D11" w:rsidP="00F46591">
      <w:r>
        <w:separator/>
      </w:r>
    </w:p>
  </w:endnote>
  <w:endnote w:type="continuationSeparator" w:id="0">
    <w:p w14:paraId="444ECF56" w14:textId="77777777" w:rsidR="00841D11" w:rsidRDefault="00841D11" w:rsidP="00F46591">
      <w:r>
        <w:continuationSeparator/>
      </w:r>
    </w:p>
  </w:endnote>
  <w:endnote w:type="continuationNotice" w:id="1">
    <w:p w14:paraId="06B82C7A" w14:textId="77777777" w:rsidR="00841D11" w:rsidRDefault="00841D11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9911" w14:textId="77777777" w:rsidR="00CD46FA" w:rsidRDefault="00CD4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Content>
      <w:p w14:paraId="4DF05C34" w14:textId="1A271896" w:rsidR="00C13793" w:rsidRDefault="00000000" w:rsidP="00F46591">
        <w:pPr>
          <w:pStyle w:val="Footer"/>
        </w:pPr>
        <w:sdt>
          <w:sdtPr>
            <w:id w:val="2088723941"/>
            <w:docPartObj>
              <w:docPartGallery w:val="Page Numbers (Bottom of Page)"/>
              <w:docPartUnique/>
            </w:docPartObj>
          </w:sdtPr>
          <w:sdtContent>
            <w:r w:rsidR="00CD46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E497EF6" wp14:editId="24986ADA">
                      <wp:simplePos x="0" y="0"/>
                      <wp:positionH relativeFrom="rightMargin">
                        <wp:posOffset>-533459</wp:posOffset>
                      </wp:positionH>
                      <wp:positionV relativeFrom="bottomMargin">
                        <wp:posOffset>0</wp:posOffset>
                      </wp:positionV>
                      <wp:extent cx="762000" cy="89535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1664199478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eastAsiaTheme="majorEastAsia"/>
                                          <w:sz w:val="48"/>
                                          <w:szCs w:val="48"/>
                                        </w:rPr>
                                        <w:id w:val="-1427419203"/>
                                        <w:docPartObj>
                                          <w:docPartGallery w:val="Page Numbers (Margins)"/>
                                          <w:docPartUnique/>
                                        </w:docPartObj>
                                      </w:sdtPr>
                                      <w:sdtContent>
                                        <w:p w14:paraId="35DE0C4F" w14:textId="77777777" w:rsidR="00CD46FA" w:rsidRPr="00236FC6" w:rsidRDefault="00CD46FA" w:rsidP="00CD46FA">
                                          <w:pPr>
                                            <w:jc w:val="center"/>
                                            <w:rPr>
                                              <w:rFonts w:eastAsiaTheme="majorEastAsia"/>
                                              <w:sz w:val="48"/>
                                              <w:szCs w:val="44"/>
                                            </w:rPr>
                                          </w:pPr>
                                          <w:r w:rsidRPr="00236FC6">
                                            <w:rPr>
                                              <w:rFonts w:eastAsiaTheme="minorEastAsia"/>
                                            </w:rPr>
                                            <w:fldChar w:fldCharType="begin"/>
                                          </w:r>
                                          <w:r w:rsidRPr="00236FC6">
                                            <w:instrText xml:space="preserve"> PAGE   \* MERGEFORMAT </w:instrText>
                                          </w:r>
                                          <w:r w:rsidRPr="00236FC6">
                                            <w:rPr>
                                              <w:rFonts w:eastAsiaTheme="minorEastAsia"/>
                                            </w:rPr>
                                            <w:fldChar w:fldCharType="separate"/>
                                          </w:r>
                                          <w:r w:rsidRPr="00236FC6">
                                            <w:rPr>
                                              <w:rFonts w:eastAsiaTheme="majorEastAsia"/>
                                              <w:noProof/>
                                              <w:sz w:val="48"/>
                                              <w:szCs w:val="48"/>
                                            </w:rPr>
                                            <w:t>2</w:t>
                                          </w:r>
                                          <w:r w:rsidRPr="00236FC6">
                                            <w:rPr>
                                              <w:rFonts w:eastAsiaTheme="majorEastAsia"/>
                                              <w:noProof/>
                                              <w:sz w:val="48"/>
                                              <w:szCs w:val="48"/>
                                            </w:rPr>
                                            <w:fldChar w:fldCharType="end"/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97EF6" id="Rectangle 1" o:spid="_x0000_s1026" style="position:absolute;margin-left:-42pt;margin-top:0;width:60pt;height:70.5pt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dvAA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" stroked="f">
                      <v:textbox>
                        <w:txbx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1664199478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eastAsiaTheme="majorEastAsia"/>
                                    <w:sz w:val="48"/>
                                    <w:szCs w:val="48"/>
                                  </w:rPr>
                                  <w:id w:val="-1427419203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35DE0C4F" w14:textId="77777777" w:rsidR="00CD46FA" w:rsidRPr="00236FC6" w:rsidRDefault="00CD46FA" w:rsidP="00CD46FA">
                                    <w:pPr>
                                      <w:jc w:val="center"/>
                                      <w:rPr>
                                        <w:rFonts w:eastAsiaTheme="majorEastAsia"/>
                                        <w:sz w:val="48"/>
                                        <w:szCs w:val="44"/>
                                      </w:rPr>
                                    </w:pPr>
                                    <w:r w:rsidRPr="00236FC6">
                                      <w:rPr>
                                        <w:rFonts w:eastAsiaTheme="minorEastAsia"/>
                                      </w:rPr>
                                      <w:fldChar w:fldCharType="begin"/>
                                    </w:r>
                                    <w:r w:rsidRPr="00236FC6">
                                      <w:instrText xml:space="preserve"> PAGE   \* MERGEFORMAT </w:instrText>
                                    </w:r>
                                    <w:r w:rsidRPr="00236FC6">
                                      <w:rPr>
                                        <w:rFonts w:eastAsiaTheme="minorEastAsia"/>
                                      </w:rPr>
                                      <w:fldChar w:fldCharType="separate"/>
                                    </w:r>
                                    <w:r w:rsidRPr="00236FC6">
                                      <w:rPr>
                                        <w:rFonts w:eastAsiaTheme="majorEastAsia"/>
                                        <w:noProof/>
                                        <w:sz w:val="48"/>
                                        <w:szCs w:val="48"/>
                                      </w:rPr>
                                      <w:t>2</w:t>
                                    </w:r>
                                    <w:r w:rsidRPr="00236FC6">
                                      <w:rPr>
                                        <w:rFonts w:eastAsiaTheme="majorEastAsia"/>
                                        <w:noProof/>
                                        <w:sz w:val="48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545C83">
              <w:t>Sept</w:t>
            </w:r>
            <w:r w:rsidR="00CD46FA">
              <w:t xml:space="preserve"> 202</w:t>
            </w:r>
            <w:r w:rsidR="00545C83">
              <w:t>3</w:t>
            </w:r>
            <w:r w:rsidR="00CD46FA">
              <w:t>.  External: non confidential</w:t>
            </w:r>
          </w:sdtContent>
        </w:sdt>
        <w:r w:rsidR="00236FC6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7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8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AFC6" w14:textId="77777777" w:rsidR="00841D11" w:rsidRDefault="00841D11" w:rsidP="00F46591">
      <w:r>
        <w:separator/>
      </w:r>
    </w:p>
  </w:footnote>
  <w:footnote w:type="continuationSeparator" w:id="0">
    <w:p w14:paraId="16B60D2C" w14:textId="77777777" w:rsidR="00841D11" w:rsidRDefault="00841D11" w:rsidP="00F46591">
      <w:r>
        <w:continuationSeparator/>
      </w:r>
    </w:p>
  </w:footnote>
  <w:footnote w:type="continuationNotice" w:id="1">
    <w:p w14:paraId="3F58A2B1" w14:textId="77777777" w:rsidR="00841D11" w:rsidRDefault="00841D11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78ED" w14:textId="77777777" w:rsidR="00CD46FA" w:rsidRDefault="00CD4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0E1B02D3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D6A2511">
      <w:rPr>
        <w:b/>
        <w:bCs/>
        <w:color w:val="7F7F7F" w:themeColor="text1" w:themeTint="80"/>
        <w:sz w:val="32"/>
        <w:szCs w:val="32"/>
      </w:rPr>
      <w:t xml:space="preserve">Investment Committee 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71E"/>
    <w:multiLevelType w:val="multilevel"/>
    <w:tmpl w:val="E6607D9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5671"/>
    <w:multiLevelType w:val="hybridMultilevel"/>
    <w:tmpl w:val="EF1E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155169">
    <w:abstractNumId w:val="1"/>
  </w:num>
  <w:num w:numId="2" w16cid:durableId="2112432864">
    <w:abstractNumId w:val="16"/>
  </w:num>
  <w:num w:numId="3" w16cid:durableId="467355575">
    <w:abstractNumId w:val="5"/>
  </w:num>
  <w:num w:numId="4" w16cid:durableId="434519236">
    <w:abstractNumId w:val="3"/>
  </w:num>
  <w:num w:numId="5" w16cid:durableId="18312578">
    <w:abstractNumId w:val="2"/>
  </w:num>
  <w:num w:numId="6" w16cid:durableId="2061443849">
    <w:abstractNumId w:val="15"/>
  </w:num>
  <w:num w:numId="7" w16cid:durableId="912662995">
    <w:abstractNumId w:val="19"/>
  </w:num>
  <w:num w:numId="8" w16cid:durableId="647590398">
    <w:abstractNumId w:val="14"/>
  </w:num>
  <w:num w:numId="9" w16cid:durableId="421724416">
    <w:abstractNumId w:val="17"/>
  </w:num>
  <w:num w:numId="10" w16cid:durableId="441848240">
    <w:abstractNumId w:val="10"/>
  </w:num>
  <w:num w:numId="11" w16cid:durableId="1357540512">
    <w:abstractNumId w:val="0"/>
  </w:num>
  <w:num w:numId="12" w16cid:durableId="1188369128">
    <w:abstractNumId w:val="12"/>
  </w:num>
  <w:num w:numId="13" w16cid:durableId="981882286">
    <w:abstractNumId w:val="5"/>
  </w:num>
  <w:num w:numId="14" w16cid:durableId="1277981919">
    <w:abstractNumId w:val="13"/>
  </w:num>
  <w:num w:numId="15" w16cid:durableId="1445073824">
    <w:abstractNumId w:val="18"/>
  </w:num>
  <w:num w:numId="16" w16cid:durableId="802893301">
    <w:abstractNumId w:val="6"/>
  </w:num>
  <w:num w:numId="17" w16cid:durableId="1765953301">
    <w:abstractNumId w:val="4"/>
  </w:num>
  <w:num w:numId="18" w16cid:durableId="2133133127">
    <w:abstractNumId w:val="20"/>
  </w:num>
  <w:num w:numId="19" w16cid:durableId="1417898167">
    <w:abstractNumId w:val="8"/>
  </w:num>
  <w:num w:numId="20" w16cid:durableId="272715623">
    <w:abstractNumId w:val="7"/>
  </w:num>
  <w:num w:numId="21" w16cid:durableId="1902909989">
    <w:abstractNumId w:val="9"/>
  </w:num>
  <w:num w:numId="22" w16cid:durableId="14351753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E48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D7E"/>
    <w:rsid w:val="00022CA8"/>
    <w:rsid w:val="00022F7F"/>
    <w:rsid w:val="000234E2"/>
    <w:rsid w:val="00023EF5"/>
    <w:rsid w:val="00024237"/>
    <w:rsid w:val="000244C0"/>
    <w:rsid w:val="000247F2"/>
    <w:rsid w:val="00024B9E"/>
    <w:rsid w:val="00024CA7"/>
    <w:rsid w:val="00024E3D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8D1"/>
    <w:rsid w:val="00060AB5"/>
    <w:rsid w:val="00062327"/>
    <w:rsid w:val="00062E55"/>
    <w:rsid w:val="000631D0"/>
    <w:rsid w:val="00063246"/>
    <w:rsid w:val="00063359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43F7"/>
    <w:rsid w:val="000845DA"/>
    <w:rsid w:val="00084663"/>
    <w:rsid w:val="00085DCF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711F"/>
    <w:rsid w:val="00097228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208B"/>
    <w:rsid w:val="000B2839"/>
    <w:rsid w:val="000B2915"/>
    <w:rsid w:val="000B29AD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232"/>
    <w:rsid w:val="000E27D5"/>
    <w:rsid w:val="000E297B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0BC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68B5"/>
    <w:rsid w:val="0011703D"/>
    <w:rsid w:val="00117101"/>
    <w:rsid w:val="00117ADF"/>
    <w:rsid w:val="00117DBB"/>
    <w:rsid w:val="00120038"/>
    <w:rsid w:val="0012056C"/>
    <w:rsid w:val="001209AE"/>
    <w:rsid w:val="00120A47"/>
    <w:rsid w:val="001215F6"/>
    <w:rsid w:val="00121AD9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513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799A"/>
    <w:rsid w:val="00147E0F"/>
    <w:rsid w:val="00147F31"/>
    <w:rsid w:val="00150129"/>
    <w:rsid w:val="001502FC"/>
    <w:rsid w:val="00151323"/>
    <w:rsid w:val="0015182A"/>
    <w:rsid w:val="001518CB"/>
    <w:rsid w:val="00151BBE"/>
    <w:rsid w:val="00152C71"/>
    <w:rsid w:val="00152DD5"/>
    <w:rsid w:val="00153161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F0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752A"/>
    <w:rsid w:val="00187738"/>
    <w:rsid w:val="00187E46"/>
    <w:rsid w:val="00187F61"/>
    <w:rsid w:val="00190C5A"/>
    <w:rsid w:val="0019287B"/>
    <w:rsid w:val="0019290A"/>
    <w:rsid w:val="00192CC4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D24"/>
    <w:rsid w:val="001D6E2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9DF"/>
    <w:rsid w:val="001E609A"/>
    <w:rsid w:val="001E6392"/>
    <w:rsid w:val="001E6701"/>
    <w:rsid w:val="001E720D"/>
    <w:rsid w:val="001E7507"/>
    <w:rsid w:val="001E7879"/>
    <w:rsid w:val="001F1F45"/>
    <w:rsid w:val="001F2159"/>
    <w:rsid w:val="001F22D4"/>
    <w:rsid w:val="001F248C"/>
    <w:rsid w:val="001F28D7"/>
    <w:rsid w:val="001F41D0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89"/>
    <w:rsid w:val="00203BAA"/>
    <w:rsid w:val="00203C7E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5A8"/>
    <w:rsid w:val="00205A37"/>
    <w:rsid w:val="00205AF5"/>
    <w:rsid w:val="00206A41"/>
    <w:rsid w:val="00206D3E"/>
    <w:rsid w:val="0020711A"/>
    <w:rsid w:val="0020732A"/>
    <w:rsid w:val="002073F7"/>
    <w:rsid w:val="002077EC"/>
    <w:rsid w:val="002103FB"/>
    <w:rsid w:val="0021055C"/>
    <w:rsid w:val="00210749"/>
    <w:rsid w:val="00210876"/>
    <w:rsid w:val="002109B5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B80"/>
    <w:rsid w:val="00244EC4"/>
    <w:rsid w:val="00244F67"/>
    <w:rsid w:val="002452FE"/>
    <w:rsid w:val="00245726"/>
    <w:rsid w:val="00245B0A"/>
    <w:rsid w:val="00246044"/>
    <w:rsid w:val="00246B92"/>
    <w:rsid w:val="00246ECB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51B0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A0E"/>
    <w:rsid w:val="0026376B"/>
    <w:rsid w:val="00263FE1"/>
    <w:rsid w:val="00264861"/>
    <w:rsid w:val="00264F0A"/>
    <w:rsid w:val="00265A40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D6F"/>
    <w:rsid w:val="00280007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182B"/>
    <w:rsid w:val="00291A35"/>
    <w:rsid w:val="00291C50"/>
    <w:rsid w:val="00291DEF"/>
    <w:rsid w:val="00292404"/>
    <w:rsid w:val="00292512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860"/>
    <w:rsid w:val="00296A54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5FC5"/>
    <w:rsid w:val="002C6048"/>
    <w:rsid w:val="002C60F2"/>
    <w:rsid w:val="002C6392"/>
    <w:rsid w:val="002C65EB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E5"/>
    <w:rsid w:val="0032212C"/>
    <w:rsid w:val="003221E8"/>
    <w:rsid w:val="0032240A"/>
    <w:rsid w:val="00322A82"/>
    <w:rsid w:val="00322A97"/>
    <w:rsid w:val="00322FA2"/>
    <w:rsid w:val="0032302C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45B4"/>
    <w:rsid w:val="003348DD"/>
    <w:rsid w:val="00334D45"/>
    <w:rsid w:val="00334F2F"/>
    <w:rsid w:val="00335196"/>
    <w:rsid w:val="00335BF5"/>
    <w:rsid w:val="003366B7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D92"/>
    <w:rsid w:val="00384DDD"/>
    <w:rsid w:val="003851AE"/>
    <w:rsid w:val="0038576A"/>
    <w:rsid w:val="00385DB3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BCF"/>
    <w:rsid w:val="003E7D9E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5EDF"/>
    <w:rsid w:val="00416935"/>
    <w:rsid w:val="004169D4"/>
    <w:rsid w:val="00416F8B"/>
    <w:rsid w:val="0041732C"/>
    <w:rsid w:val="0041779E"/>
    <w:rsid w:val="00417E35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355C"/>
    <w:rsid w:val="004236D2"/>
    <w:rsid w:val="004239A0"/>
    <w:rsid w:val="00423E12"/>
    <w:rsid w:val="00424029"/>
    <w:rsid w:val="004242E4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98D"/>
    <w:rsid w:val="00475F2C"/>
    <w:rsid w:val="00475FF8"/>
    <w:rsid w:val="0047617F"/>
    <w:rsid w:val="00476507"/>
    <w:rsid w:val="00477230"/>
    <w:rsid w:val="004776E2"/>
    <w:rsid w:val="00477824"/>
    <w:rsid w:val="00477DBB"/>
    <w:rsid w:val="00477EBA"/>
    <w:rsid w:val="00480781"/>
    <w:rsid w:val="004809A2"/>
    <w:rsid w:val="00480C75"/>
    <w:rsid w:val="0048108A"/>
    <w:rsid w:val="00481B1A"/>
    <w:rsid w:val="004820AB"/>
    <w:rsid w:val="0048210B"/>
    <w:rsid w:val="0048217D"/>
    <w:rsid w:val="00482245"/>
    <w:rsid w:val="0048253E"/>
    <w:rsid w:val="00482761"/>
    <w:rsid w:val="00482C49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A5A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A009B"/>
    <w:rsid w:val="004A0375"/>
    <w:rsid w:val="004A0CD5"/>
    <w:rsid w:val="004A0CE9"/>
    <w:rsid w:val="004A1C66"/>
    <w:rsid w:val="004A1E41"/>
    <w:rsid w:val="004A22BC"/>
    <w:rsid w:val="004A25BE"/>
    <w:rsid w:val="004A36E1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1EFF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609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170C"/>
    <w:rsid w:val="004F1AB9"/>
    <w:rsid w:val="004F1B4C"/>
    <w:rsid w:val="004F2048"/>
    <w:rsid w:val="004F2AC2"/>
    <w:rsid w:val="004F2B1C"/>
    <w:rsid w:val="004F2E12"/>
    <w:rsid w:val="004F328D"/>
    <w:rsid w:val="004F352E"/>
    <w:rsid w:val="004F38AE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EBC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734"/>
    <w:rsid w:val="005218F8"/>
    <w:rsid w:val="00522177"/>
    <w:rsid w:val="00522885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1E6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C83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EDF"/>
    <w:rsid w:val="005760B0"/>
    <w:rsid w:val="0057630E"/>
    <w:rsid w:val="00576629"/>
    <w:rsid w:val="005775B7"/>
    <w:rsid w:val="00577D28"/>
    <w:rsid w:val="00577D5D"/>
    <w:rsid w:val="00577DF4"/>
    <w:rsid w:val="0058023C"/>
    <w:rsid w:val="005807AF"/>
    <w:rsid w:val="00580CFE"/>
    <w:rsid w:val="00580D37"/>
    <w:rsid w:val="00581959"/>
    <w:rsid w:val="005834B2"/>
    <w:rsid w:val="00583791"/>
    <w:rsid w:val="005845C9"/>
    <w:rsid w:val="00584C11"/>
    <w:rsid w:val="00584C52"/>
    <w:rsid w:val="00584D9F"/>
    <w:rsid w:val="0058508F"/>
    <w:rsid w:val="005854AB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4CB"/>
    <w:rsid w:val="005A6B3E"/>
    <w:rsid w:val="005A7A95"/>
    <w:rsid w:val="005B0211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4193"/>
    <w:rsid w:val="005C5218"/>
    <w:rsid w:val="005C5865"/>
    <w:rsid w:val="005C58E2"/>
    <w:rsid w:val="005C649D"/>
    <w:rsid w:val="005C65B6"/>
    <w:rsid w:val="005C66E1"/>
    <w:rsid w:val="005C71BC"/>
    <w:rsid w:val="005C78B2"/>
    <w:rsid w:val="005D029F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F80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AFD"/>
    <w:rsid w:val="006040A4"/>
    <w:rsid w:val="006040B3"/>
    <w:rsid w:val="006040CA"/>
    <w:rsid w:val="00604120"/>
    <w:rsid w:val="006045D6"/>
    <w:rsid w:val="00604851"/>
    <w:rsid w:val="00605116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4333"/>
    <w:rsid w:val="00614EC0"/>
    <w:rsid w:val="00614F23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DC7"/>
    <w:rsid w:val="0062402B"/>
    <w:rsid w:val="006243F7"/>
    <w:rsid w:val="00624A19"/>
    <w:rsid w:val="00624BFD"/>
    <w:rsid w:val="006251A3"/>
    <w:rsid w:val="00626298"/>
    <w:rsid w:val="006300C6"/>
    <w:rsid w:val="0063042A"/>
    <w:rsid w:val="00630F73"/>
    <w:rsid w:val="006314E3"/>
    <w:rsid w:val="006320B4"/>
    <w:rsid w:val="006325DD"/>
    <w:rsid w:val="006329B3"/>
    <w:rsid w:val="00632A01"/>
    <w:rsid w:val="0063352A"/>
    <w:rsid w:val="006346A5"/>
    <w:rsid w:val="006347F8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12D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38AF"/>
    <w:rsid w:val="00653903"/>
    <w:rsid w:val="00653C9E"/>
    <w:rsid w:val="00653F24"/>
    <w:rsid w:val="00653FEA"/>
    <w:rsid w:val="0065497D"/>
    <w:rsid w:val="006551CE"/>
    <w:rsid w:val="00655300"/>
    <w:rsid w:val="0065551E"/>
    <w:rsid w:val="006557D5"/>
    <w:rsid w:val="0065584A"/>
    <w:rsid w:val="0065595A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61C"/>
    <w:rsid w:val="00674C07"/>
    <w:rsid w:val="00674D9A"/>
    <w:rsid w:val="00674E97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89"/>
    <w:rsid w:val="00696F30"/>
    <w:rsid w:val="00697416"/>
    <w:rsid w:val="00697A28"/>
    <w:rsid w:val="00697E8B"/>
    <w:rsid w:val="006A03FB"/>
    <w:rsid w:val="006A043D"/>
    <w:rsid w:val="006A04CB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9A2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456"/>
    <w:rsid w:val="006B60A4"/>
    <w:rsid w:val="006B63DB"/>
    <w:rsid w:val="006B6858"/>
    <w:rsid w:val="006B7981"/>
    <w:rsid w:val="006B7A0E"/>
    <w:rsid w:val="006C00C2"/>
    <w:rsid w:val="006C0427"/>
    <w:rsid w:val="006C0560"/>
    <w:rsid w:val="006C0829"/>
    <w:rsid w:val="006C22E5"/>
    <w:rsid w:val="006C2568"/>
    <w:rsid w:val="006C3284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EB6"/>
    <w:rsid w:val="006C7591"/>
    <w:rsid w:val="006C7604"/>
    <w:rsid w:val="006C7CD5"/>
    <w:rsid w:val="006D0872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2D9E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E4F"/>
    <w:rsid w:val="006F7BBC"/>
    <w:rsid w:val="007003E4"/>
    <w:rsid w:val="00700448"/>
    <w:rsid w:val="00700D5F"/>
    <w:rsid w:val="00700D9E"/>
    <w:rsid w:val="007010BA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B84"/>
    <w:rsid w:val="007137DA"/>
    <w:rsid w:val="0071421A"/>
    <w:rsid w:val="00714268"/>
    <w:rsid w:val="0071467B"/>
    <w:rsid w:val="00714C1A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27574"/>
    <w:rsid w:val="00730058"/>
    <w:rsid w:val="007306AA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724C"/>
    <w:rsid w:val="0073743C"/>
    <w:rsid w:val="00737B13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B0F"/>
    <w:rsid w:val="00792958"/>
    <w:rsid w:val="0079334F"/>
    <w:rsid w:val="00793441"/>
    <w:rsid w:val="00793995"/>
    <w:rsid w:val="007939D5"/>
    <w:rsid w:val="00793B96"/>
    <w:rsid w:val="007941C3"/>
    <w:rsid w:val="00794408"/>
    <w:rsid w:val="007945E8"/>
    <w:rsid w:val="00794CC8"/>
    <w:rsid w:val="00794F9F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5"/>
    <w:rsid w:val="007E1026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8B7"/>
    <w:rsid w:val="007F0EE1"/>
    <w:rsid w:val="007F1335"/>
    <w:rsid w:val="007F17F5"/>
    <w:rsid w:val="007F24F8"/>
    <w:rsid w:val="007F2CE9"/>
    <w:rsid w:val="007F37C2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850"/>
    <w:rsid w:val="00811C38"/>
    <w:rsid w:val="00811F66"/>
    <w:rsid w:val="00812553"/>
    <w:rsid w:val="008128A5"/>
    <w:rsid w:val="00812B21"/>
    <w:rsid w:val="008139B2"/>
    <w:rsid w:val="008140A8"/>
    <w:rsid w:val="00814E58"/>
    <w:rsid w:val="00815129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670B"/>
    <w:rsid w:val="008269D9"/>
    <w:rsid w:val="00826AF2"/>
    <w:rsid w:val="00826DC4"/>
    <w:rsid w:val="008302F2"/>
    <w:rsid w:val="008303B3"/>
    <w:rsid w:val="0083061D"/>
    <w:rsid w:val="00830A1A"/>
    <w:rsid w:val="00830F22"/>
    <w:rsid w:val="008311CB"/>
    <w:rsid w:val="008321B4"/>
    <w:rsid w:val="008321CF"/>
    <w:rsid w:val="00832722"/>
    <w:rsid w:val="00832959"/>
    <w:rsid w:val="00834184"/>
    <w:rsid w:val="008347ED"/>
    <w:rsid w:val="00835074"/>
    <w:rsid w:val="0083554B"/>
    <w:rsid w:val="00835E61"/>
    <w:rsid w:val="008368D7"/>
    <w:rsid w:val="0083750F"/>
    <w:rsid w:val="00837CCD"/>
    <w:rsid w:val="0084127F"/>
    <w:rsid w:val="008412C5"/>
    <w:rsid w:val="00841D11"/>
    <w:rsid w:val="00841D7E"/>
    <w:rsid w:val="00842062"/>
    <w:rsid w:val="00842767"/>
    <w:rsid w:val="00842E6D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2AE7"/>
    <w:rsid w:val="00853390"/>
    <w:rsid w:val="008534D8"/>
    <w:rsid w:val="00853949"/>
    <w:rsid w:val="00853E1D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2A1"/>
    <w:rsid w:val="00863BC2"/>
    <w:rsid w:val="0086437C"/>
    <w:rsid w:val="00864B5B"/>
    <w:rsid w:val="00864C67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815"/>
    <w:rsid w:val="008B6AB5"/>
    <w:rsid w:val="008B6D53"/>
    <w:rsid w:val="008B7640"/>
    <w:rsid w:val="008B7D35"/>
    <w:rsid w:val="008C0123"/>
    <w:rsid w:val="008C0737"/>
    <w:rsid w:val="008C08FC"/>
    <w:rsid w:val="008C1357"/>
    <w:rsid w:val="008C2051"/>
    <w:rsid w:val="008C2349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E56"/>
    <w:rsid w:val="008D082C"/>
    <w:rsid w:val="008D0834"/>
    <w:rsid w:val="008D0AB2"/>
    <w:rsid w:val="008D0D6C"/>
    <w:rsid w:val="008D12BE"/>
    <w:rsid w:val="008D15A6"/>
    <w:rsid w:val="008D1675"/>
    <w:rsid w:val="008D1C58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086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F03"/>
    <w:rsid w:val="00903693"/>
    <w:rsid w:val="00903791"/>
    <w:rsid w:val="00903A5F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C57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9A9"/>
    <w:rsid w:val="009B7ACE"/>
    <w:rsid w:val="009B7D5B"/>
    <w:rsid w:val="009C0849"/>
    <w:rsid w:val="009C1820"/>
    <w:rsid w:val="009C254C"/>
    <w:rsid w:val="009C2900"/>
    <w:rsid w:val="009C2B25"/>
    <w:rsid w:val="009C3712"/>
    <w:rsid w:val="009C3863"/>
    <w:rsid w:val="009C3A83"/>
    <w:rsid w:val="009C3D45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363"/>
    <w:rsid w:val="009F7D23"/>
    <w:rsid w:val="009F7F64"/>
    <w:rsid w:val="00A007D6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AB3"/>
    <w:rsid w:val="00A05BAE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7A4"/>
    <w:rsid w:val="00A40A11"/>
    <w:rsid w:val="00A41355"/>
    <w:rsid w:val="00A413E5"/>
    <w:rsid w:val="00A41696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CE1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5A"/>
    <w:rsid w:val="00A63163"/>
    <w:rsid w:val="00A64716"/>
    <w:rsid w:val="00A65518"/>
    <w:rsid w:val="00A65636"/>
    <w:rsid w:val="00A658C1"/>
    <w:rsid w:val="00A65AC3"/>
    <w:rsid w:val="00A6623A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B05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3D5"/>
    <w:rsid w:val="00AC35BC"/>
    <w:rsid w:val="00AC3677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DA4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FAD"/>
    <w:rsid w:val="00B11B96"/>
    <w:rsid w:val="00B11E31"/>
    <w:rsid w:val="00B124C1"/>
    <w:rsid w:val="00B12567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7F"/>
    <w:rsid w:val="00B34DFA"/>
    <w:rsid w:val="00B35219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74F"/>
    <w:rsid w:val="00B4686F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374"/>
    <w:rsid w:val="00B619AF"/>
    <w:rsid w:val="00B619B8"/>
    <w:rsid w:val="00B61D40"/>
    <w:rsid w:val="00B61D57"/>
    <w:rsid w:val="00B62024"/>
    <w:rsid w:val="00B6268F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BAF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9"/>
    <w:rsid w:val="00B80355"/>
    <w:rsid w:val="00B80AC3"/>
    <w:rsid w:val="00B80D22"/>
    <w:rsid w:val="00B80E05"/>
    <w:rsid w:val="00B82116"/>
    <w:rsid w:val="00B82146"/>
    <w:rsid w:val="00B82DB3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97E6D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27C"/>
    <w:rsid w:val="00BC2874"/>
    <w:rsid w:val="00BC2C10"/>
    <w:rsid w:val="00BC3C52"/>
    <w:rsid w:val="00BC3C9A"/>
    <w:rsid w:val="00BC3E90"/>
    <w:rsid w:val="00BC4529"/>
    <w:rsid w:val="00BC4772"/>
    <w:rsid w:val="00BC4D5F"/>
    <w:rsid w:val="00BC503A"/>
    <w:rsid w:val="00BC5BEB"/>
    <w:rsid w:val="00BC5E3B"/>
    <w:rsid w:val="00BC5E68"/>
    <w:rsid w:val="00BC5F31"/>
    <w:rsid w:val="00BC64C4"/>
    <w:rsid w:val="00BC7731"/>
    <w:rsid w:val="00BC7A80"/>
    <w:rsid w:val="00BD01ED"/>
    <w:rsid w:val="00BD0ECF"/>
    <w:rsid w:val="00BD2010"/>
    <w:rsid w:val="00BD2138"/>
    <w:rsid w:val="00BD2530"/>
    <w:rsid w:val="00BD2580"/>
    <w:rsid w:val="00BD3137"/>
    <w:rsid w:val="00BD3C55"/>
    <w:rsid w:val="00BD424D"/>
    <w:rsid w:val="00BD4413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73E0"/>
    <w:rsid w:val="00BD7D8B"/>
    <w:rsid w:val="00BD7F75"/>
    <w:rsid w:val="00BE08ED"/>
    <w:rsid w:val="00BE0D64"/>
    <w:rsid w:val="00BE0F66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613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2169"/>
    <w:rsid w:val="00CB25BD"/>
    <w:rsid w:val="00CB25E2"/>
    <w:rsid w:val="00CB2827"/>
    <w:rsid w:val="00CB284A"/>
    <w:rsid w:val="00CB371F"/>
    <w:rsid w:val="00CB3924"/>
    <w:rsid w:val="00CB3C66"/>
    <w:rsid w:val="00CB3D2A"/>
    <w:rsid w:val="00CB425F"/>
    <w:rsid w:val="00CB42DD"/>
    <w:rsid w:val="00CB45A1"/>
    <w:rsid w:val="00CB45CA"/>
    <w:rsid w:val="00CB48C0"/>
    <w:rsid w:val="00CB4944"/>
    <w:rsid w:val="00CB53ED"/>
    <w:rsid w:val="00CB5531"/>
    <w:rsid w:val="00CB5B15"/>
    <w:rsid w:val="00CB6353"/>
    <w:rsid w:val="00CB65CD"/>
    <w:rsid w:val="00CB72A0"/>
    <w:rsid w:val="00CB7A9D"/>
    <w:rsid w:val="00CC02AA"/>
    <w:rsid w:val="00CC02CF"/>
    <w:rsid w:val="00CC0624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6FA"/>
    <w:rsid w:val="00CD488B"/>
    <w:rsid w:val="00CD48AA"/>
    <w:rsid w:val="00CD5734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EFD"/>
    <w:rsid w:val="00CF5C81"/>
    <w:rsid w:val="00CF5F67"/>
    <w:rsid w:val="00CF62C6"/>
    <w:rsid w:val="00CF63BC"/>
    <w:rsid w:val="00CF6D57"/>
    <w:rsid w:val="00CF7006"/>
    <w:rsid w:val="00CF728E"/>
    <w:rsid w:val="00CF764E"/>
    <w:rsid w:val="00CF79DE"/>
    <w:rsid w:val="00CF7A2D"/>
    <w:rsid w:val="00CF7A5F"/>
    <w:rsid w:val="00CF7F5D"/>
    <w:rsid w:val="00D0013F"/>
    <w:rsid w:val="00D009F6"/>
    <w:rsid w:val="00D00B52"/>
    <w:rsid w:val="00D0121A"/>
    <w:rsid w:val="00D014AB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56A"/>
    <w:rsid w:val="00D17F1A"/>
    <w:rsid w:val="00D201DF"/>
    <w:rsid w:val="00D20501"/>
    <w:rsid w:val="00D20631"/>
    <w:rsid w:val="00D20737"/>
    <w:rsid w:val="00D20AC7"/>
    <w:rsid w:val="00D21381"/>
    <w:rsid w:val="00D219D6"/>
    <w:rsid w:val="00D22871"/>
    <w:rsid w:val="00D22F53"/>
    <w:rsid w:val="00D2307C"/>
    <w:rsid w:val="00D23818"/>
    <w:rsid w:val="00D23F93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61D"/>
    <w:rsid w:val="00D65983"/>
    <w:rsid w:val="00D65BBE"/>
    <w:rsid w:val="00D65C3E"/>
    <w:rsid w:val="00D66964"/>
    <w:rsid w:val="00D66B8C"/>
    <w:rsid w:val="00D66EF0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190"/>
    <w:rsid w:val="00D76A81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32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381D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1591"/>
    <w:rsid w:val="00E215A4"/>
    <w:rsid w:val="00E21826"/>
    <w:rsid w:val="00E229EE"/>
    <w:rsid w:val="00E23E0F"/>
    <w:rsid w:val="00E2424D"/>
    <w:rsid w:val="00E2497B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E6C"/>
    <w:rsid w:val="00E3296D"/>
    <w:rsid w:val="00E3315F"/>
    <w:rsid w:val="00E3342C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F29"/>
    <w:rsid w:val="00E4459C"/>
    <w:rsid w:val="00E44877"/>
    <w:rsid w:val="00E44B3B"/>
    <w:rsid w:val="00E44D9B"/>
    <w:rsid w:val="00E4593D"/>
    <w:rsid w:val="00E46315"/>
    <w:rsid w:val="00E466A3"/>
    <w:rsid w:val="00E469B1"/>
    <w:rsid w:val="00E46C4C"/>
    <w:rsid w:val="00E4749A"/>
    <w:rsid w:val="00E476C5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21CC"/>
    <w:rsid w:val="00E924B7"/>
    <w:rsid w:val="00E93902"/>
    <w:rsid w:val="00E93B2E"/>
    <w:rsid w:val="00E94200"/>
    <w:rsid w:val="00E95004"/>
    <w:rsid w:val="00E9518E"/>
    <w:rsid w:val="00E95D23"/>
    <w:rsid w:val="00E95DFC"/>
    <w:rsid w:val="00E9635D"/>
    <w:rsid w:val="00E96546"/>
    <w:rsid w:val="00E972EE"/>
    <w:rsid w:val="00EA09A9"/>
    <w:rsid w:val="00EA0B2C"/>
    <w:rsid w:val="00EA16CE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41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A14"/>
    <w:rsid w:val="00EC7BD2"/>
    <w:rsid w:val="00EC7D3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FCB"/>
    <w:rsid w:val="00F17AA2"/>
    <w:rsid w:val="00F21C10"/>
    <w:rsid w:val="00F2216B"/>
    <w:rsid w:val="00F22539"/>
    <w:rsid w:val="00F22942"/>
    <w:rsid w:val="00F22F9A"/>
    <w:rsid w:val="00F23725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3E95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4AE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78F"/>
    <w:rsid w:val="00F54972"/>
    <w:rsid w:val="00F549A5"/>
    <w:rsid w:val="00F54E9B"/>
    <w:rsid w:val="00F54FC1"/>
    <w:rsid w:val="00F560CA"/>
    <w:rsid w:val="00F5709E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3E"/>
    <w:rsid w:val="00F629AE"/>
    <w:rsid w:val="00F62D2D"/>
    <w:rsid w:val="00F62F5D"/>
    <w:rsid w:val="00F630F9"/>
    <w:rsid w:val="00F6315C"/>
    <w:rsid w:val="00F638FB"/>
    <w:rsid w:val="00F63B6C"/>
    <w:rsid w:val="00F649BC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B6D"/>
    <w:rsid w:val="00F73C18"/>
    <w:rsid w:val="00F74A17"/>
    <w:rsid w:val="00F74A71"/>
    <w:rsid w:val="00F75381"/>
    <w:rsid w:val="00F75485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A4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1D40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32F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BC9"/>
    <w:rsid w:val="00FC5D0F"/>
    <w:rsid w:val="00FC6272"/>
    <w:rsid w:val="00FC6404"/>
    <w:rsid w:val="00FC6833"/>
    <w:rsid w:val="00FC6CD4"/>
    <w:rsid w:val="00FC7D10"/>
    <w:rsid w:val="00FC7D61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7F6"/>
    <w:rsid w:val="00FE0AF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618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semiHidden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6618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3d77bc-15f2-4d40-b14d-19e35f029199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297600F4C304DBB71981D206505EA" ma:contentTypeVersion="13" ma:contentTypeDescription="Create a new document." ma:contentTypeScope="" ma:versionID="4fbca5b9573f2095aeb1bbeeaed7dea7">
  <xsd:schema xmlns:xsd="http://www.w3.org/2001/XMLSchema" xmlns:xs="http://www.w3.org/2001/XMLSchema" xmlns:p="http://schemas.microsoft.com/office/2006/metadata/properties" xmlns:ns2="21ba010f-96da-4a0f-84c6-a91ec315262d" xmlns:ns3="683d77bc-15f2-4d40-b14d-19e35f029199" targetNamespace="http://schemas.microsoft.com/office/2006/metadata/properties" ma:root="true" ma:fieldsID="996316a1c901b1c5f444c1c3f4e3c62f" ns2:_="" ns3:_="">
    <xsd:import namespace="21ba010f-96da-4a0f-84c6-a91ec315262d"/>
    <xsd:import namespace="683d77bc-15f2-4d40-b14d-19e35f029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010f-96da-4a0f-84c6-a91ec3152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77bc-15f2-4d40-b14d-19e35f029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683d77bc-15f2-4d40-b14d-19e35f029199"/>
  </ds:schemaRefs>
</ds:datastoreItem>
</file>

<file path=customXml/itemProps3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0A1593-6AED-41DB-9436-0BFEE85D6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a010f-96da-4a0f-84c6-a91ec315262d"/>
    <ds:schemaRef ds:uri="683d77bc-15f2-4d40-b14d-19e35f029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WCG Board to approve a revised approach to Service Delivery design and implementation</vt:lpstr>
    </vt:vector>
  </TitlesOfParts>
  <Company>University of Glasgow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WCG Board to approve a revised approach to Service Delivery design and implementation</dc:title>
  <dc:subject/>
  <dc:creator>Craig.Chapman-Smith@glasgow.ac.uk</dc:creator>
  <cp:keywords/>
  <dc:description/>
  <cp:lastModifiedBy>Amber</cp:lastModifiedBy>
  <cp:revision>2</cp:revision>
  <cp:lastPrinted>2019-05-11T23:54:00Z</cp:lastPrinted>
  <dcterms:created xsi:type="dcterms:W3CDTF">2024-01-30T12:52:00Z</dcterms:created>
  <dcterms:modified xsi:type="dcterms:W3CDTF">2024-01-30T12:52:00Z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0x010100FF4297600F4C304DBB71981D206505EA</vt:lpwstr>
  </property>
</Properties>
</file>