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839B" w14:textId="77777777" w:rsidR="00A835A6" w:rsidRPr="006045D6" w:rsidRDefault="00A835A6" w:rsidP="00A835A6">
      <w:pPr>
        <w:pStyle w:val="Heading1"/>
      </w:pPr>
      <w:r>
        <w:t>Introduction</w:t>
      </w:r>
    </w:p>
    <w:p w14:paraId="6761B8B5" w14:textId="55EE1475" w:rsidR="00A835A6" w:rsidRPr="00DA56E8" w:rsidRDefault="00A835A6" w:rsidP="00A835A6">
      <w:pPr>
        <w:rPr>
          <w:rFonts w:eastAsia="Arial"/>
        </w:rPr>
      </w:pPr>
      <w:bookmarkStart w:id="0" w:name="OLE_LINK47"/>
      <w:bookmarkStart w:id="1" w:name="OLE_LINK48"/>
      <w:bookmarkStart w:id="2" w:name="OLE_LINK43"/>
      <w:r w:rsidRPr="00DA56E8">
        <w:rPr>
          <w:rFonts w:eastAsia="Arial"/>
        </w:rPr>
        <w:t xml:space="preserve">Appointed by SMG, the </w:t>
      </w:r>
      <w:r w:rsidRPr="006E5BF6">
        <w:rPr>
          <w:rFonts w:eastAsia="Arial"/>
          <w:b/>
          <w:bCs/>
        </w:rPr>
        <w:t>Organisation</w:t>
      </w:r>
      <w:r>
        <w:rPr>
          <w:rFonts w:eastAsia="Arial"/>
          <w:b/>
          <w:bCs/>
        </w:rPr>
        <w:t>al</w:t>
      </w:r>
      <w:r w:rsidRPr="006E5BF6">
        <w:rPr>
          <w:rFonts w:eastAsia="Arial"/>
          <w:b/>
          <w:bCs/>
        </w:rPr>
        <w:t xml:space="preserve"> Change Governance </w:t>
      </w:r>
      <w:r w:rsidR="00C77E17">
        <w:rPr>
          <w:rFonts w:eastAsia="Arial"/>
          <w:b/>
          <w:bCs/>
        </w:rPr>
        <w:t>Committee</w:t>
      </w:r>
      <w:r w:rsidRPr="00DA56E8">
        <w:rPr>
          <w:rFonts w:eastAsia="Arial"/>
        </w:rPr>
        <w:t xml:space="preserve"> (</w:t>
      </w:r>
      <w:r w:rsidR="00C77E17">
        <w:rPr>
          <w:rFonts w:eastAsia="Arial"/>
        </w:rPr>
        <w:t>OCGC</w:t>
      </w:r>
      <w:r w:rsidRPr="00DA56E8">
        <w:rPr>
          <w:rFonts w:eastAsia="Arial"/>
        </w:rPr>
        <w:t xml:space="preserve">) role is to act as an independent review </w:t>
      </w:r>
      <w:r w:rsidR="00C77E17">
        <w:rPr>
          <w:rFonts w:eastAsia="Arial"/>
        </w:rPr>
        <w:t>Committee</w:t>
      </w:r>
      <w:r w:rsidRPr="00DA56E8">
        <w:rPr>
          <w:rFonts w:eastAsia="Arial"/>
        </w:rPr>
        <w:t xml:space="preserve"> for all tier 2 proposals that involve organisational change, which might result in staffing reductions or significant changes to the organisational structure.</w:t>
      </w:r>
    </w:p>
    <w:bookmarkEnd w:id="0"/>
    <w:bookmarkEnd w:id="1"/>
    <w:bookmarkEnd w:id="2"/>
    <w:p w14:paraId="2AF7EB12" w14:textId="1C0063EA" w:rsidR="00A835A6" w:rsidRPr="000841CD" w:rsidRDefault="00C77E17" w:rsidP="00A835A6">
      <w:pPr>
        <w:pStyle w:val="Heading1"/>
      </w:pPr>
      <w:r>
        <w:t>Committee</w:t>
      </w:r>
      <w:r w:rsidR="00A835A6" w:rsidRPr="000841CD">
        <w:t xml:space="preserve"> remit</w:t>
      </w:r>
    </w:p>
    <w:p w14:paraId="0401D9EC" w14:textId="37CAB521" w:rsidR="00A835A6" w:rsidRPr="00A476B0" w:rsidRDefault="00A835A6" w:rsidP="00A835A6">
      <w:pPr>
        <w:rPr>
          <w:rFonts w:eastAsia="Arial"/>
        </w:rPr>
      </w:pPr>
      <w:bookmarkStart w:id="3" w:name="OLE_LINK49"/>
      <w:bookmarkStart w:id="4" w:name="OLE_LINK50"/>
      <w:bookmarkStart w:id="5" w:name="OLE_LINK44"/>
      <w:r>
        <w:rPr>
          <w:rFonts w:eastAsia="Arial"/>
        </w:rPr>
        <w:t xml:space="preserve">The </w:t>
      </w:r>
      <w:r w:rsidR="00C77E17">
        <w:rPr>
          <w:rFonts w:eastAsia="Arial"/>
        </w:rPr>
        <w:t>Committee</w:t>
      </w:r>
      <w:r>
        <w:rPr>
          <w:rFonts w:eastAsia="Arial"/>
        </w:rPr>
        <w:t xml:space="preserve"> shall:</w:t>
      </w:r>
    </w:p>
    <w:p w14:paraId="5611F80B" w14:textId="77777777" w:rsidR="00A835A6" w:rsidRPr="00A476B0" w:rsidRDefault="00A835A6" w:rsidP="00A835A6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</w:t>
      </w:r>
      <w:r w:rsidRPr="00A476B0">
        <w:rPr>
          <w:rFonts w:eastAsia="Times New Roman"/>
          <w:color w:val="000000"/>
          <w:bdr w:val="none" w:sz="0" w:space="0" w:color="auto" w:frame="1"/>
          <w:lang w:eastAsia="en-GB"/>
        </w:rPr>
        <w:t>rovide strategic sign-off to management for Tier 2 proposals</w:t>
      </w:r>
    </w:p>
    <w:p w14:paraId="0A659883" w14:textId="77777777" w:rsidR="00A835A6" w:rsidRPr="00A476B0" w:rsidRDefault="00A835A6" w:rsidP="00A835A6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D</w:t>
      </w:r>
      <w:r w:rsidRPr="00A476B0">
        <w:rPr>
          <w:rFonts w:eastAsia="Times New Roman"/>
          <w:color w:val="000000"/>
          <w:bdr w:val="none" w:sz="0" w:space="0" w:color="auto" w:frame="1"/>
          <w:lang w:eastAsia="en-GB"/>
        </w:rPr>
        <w:t>ecide, on strategic and/or key reputational grounds, or for other exceptional reasons, if the matter should be treated as equivalent to a Tier 3 proposal and receive initial strategic sign-off by Court prior to proceeding</w:t>
      </w:r>
    </w:p>
    <w:p w14:paraId="76989D3F" w14:textId="654B7339" w:rsidR="00A835A6" w:rsidRPr="00A476B0" w:rsidRDefault="00A835A6" w:rsidP="00A835A6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A</w:t>
      </w:r>
      <w:r w:rsidRPr="00A476B0">
        <w:rPr>
          <w:rFonts w:eastAsia="Times New Roman"/>
          <w:color w:val="000000"/>
          <w:bdr w:val="none" w:sz="0" w:space="0" w:color="auto" w:frame="1"/>
          <w:lang w:eastAsia="en-GB"/>
        </w:rPr>
        <w:t xml:space="preserve">ssess, in more complex and/or potentially controversial or especially sensitive matters, whether the </w:t>
      </w:r>
      <w:r w:rsidR="00C77E17">
        <w:rPr>
          <w:rFonts w:eastAsia="Times New Roman"/>
          <w:color w:val="000000"/>
          <w:bdr w:val="none" w:sz="0" w:space="0" w:color="auto" w:frame="1"/>
          <w:lang w:eastAsia="en-GB"/>
        </w:rPr>
        <w:t>Committee</w:t>
      </w:r>
      <w:r w:rsidRPr="00A476B0">
        <w:rPr>
          <w:rFonts w:eastAsia="Times New Roman"/>
          <w:color w:val="000000"/>
          <w:bdr w:val="none" w:sz="0" w:space="0" w:color="auto" w:frame="1"/>
          <w:lang w:eastAsia="en-GB"/>
        </w:rPr>
        <w:t xml:space="preserve"> need to review the final proposals following consultation and prior to the changes being implemented.  In such circumstances the </w:t>
      </w:r>
      <w:r w:rsidR="00C77E17">
        <w:rPr>
          <w:rFonts w:eastAsia="Times New Roman"/>
          <w:color w:val="000000"/>
          <w:bdr w:val="none" w:sz="0" w:space="0" w:color="auto" w:frame="1"/>
          <w:lang w:eastAsia="en-GB"/>
        </w:rPr>
        <w:t>Committee</w:t>
      </w:r>
      <w:r w:rsidRPr="00A476B0">
        <w:rPr>
          <w:rFonts w:eastAsia="Times New Roman"/>
          <w:color w:val="000000"/>
          <w:bdr w:val="none" w:sz="0" w:space="0" w:color="auto" w:frame="1"/>
          <w:lang w:eastAsia="en-GB"/>
        </w:rPr>
        <w:t xml:space="preserve"> may request further information or that additional consultation/consideration be carried out prior to final implementation.    </w:t>
      </w:r>
    </w:p>
    <w:p w14:paraId="57D57AEA" w14:textId="2AB7CAF1" w:rsidR="00A835A6" w:rsidRPr="00733FF2" w:rsidRDefault="00A835A6" w:rsidP="00A835A6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Decide if the p</w:t>
      </w:r>
      <w:r w:rsidRPr="00733FF2">
        <w:rPr>
          <w:rFonts w:eastAsia="Times New Roman"/>
          <w:color w:val="000000"/>
          <w:bdr w:val="none" w:sz="0" w:space="0" w:color="auto" w:frame="1"/>
          <w:lang w:eastAsia="en-GB"/>
        </w:rPr>
        <w:t xml:space="preserve">olicy requires Tier 3 issues to receive the initial strategic sign off from Court. In some cases, Court may decide that it wishes the </w:t>
      </w:r>
      <w:r w:rsidR="00C77E17">
        <w:rPr>
          <w:rFonts w:eastAsia="Times New Roman"/>
          <w:color w:val="000000"/>
          <w:bdr w:val="none" w:sz="0" w:space="0" w:color="auto" w:frame="1"/>
          <w:lang w:eastAsia="en-GB"/>
        </w:rPr>
        <w:t>Committee</w:t>
      </w:r>
      <w:r w:rsidRPr="00733FF2">
        <w:rPr>
          <w:rFonts w:eastAsia="Times New Roman"/>
          <w:color w:val="000000"/>
          <w:bdr w:val="none" w:sz="0" w:space="0" w:color="auto" w:frame="1"/>
          <w:lang w:eastAsia="en-GB"/>
        </w:rPr>
        <w:t>, as per point 4 of the remit above, to review the final outcome before any change occurs</w:t>
      </w:r>
    </w:p>
    <w:p w14:paraId="33D934C1" w14:textId="77777777" w:rsidR="00A835A6" w:rsidRPr="00A476B0" w:rsidRDefault="00A835A6" w:rsidP="00A835A6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</w:t>
      </w:r>
      <w:r w:rsidRPr="00A476B0">
        <w:rPr>
          <w:rFonts w:eastAsia="Times New Roman"/>
          <w:color w:val="000000"/>
          <w:bdr w:val="none" w:sz="0" w:space="0" w:color="auto" w:frame="1"/>
          <w:lang w:eastAsia="en-GB"/>
        </w:rPr>
        <w:t>rovide a summary report to Court of changes given strategic sign-off</w:t>
      </w:r>
    </w:p>
    <w:bookmarkEnd w:id="3"/>
    <w:bookmarkEnd w:id="4"/>
    <w:bookmarkEnd w:id="5"/>
    <w:p w14:paraId="2EC9B079" w14:textId="77777777" w:rsidR="00A835A6" w:rsidRPr="004F2D72" w:rsidRDefault="00A835A6" w:rsidP="00A835A6">
      <w:pPr>
        <w:pStyle w:val="Heading1"/>
      </w:pPr>
      <w:r w:rsidRPr="004F2D72">
        <w:t>Scheme of Delegation</w:t>
      </w:r>
    </w:p>
    <w:p w14:paraId="0A83DC11" w14:textId="6EE5F0D8" w:rsidR="00A835A6" w:rsidRDefault="00A835A6" w:rsidP="00A835A6">
      <w:bookmarkStart w:id="6" w:name="OLE_LINK51"/>
      <w:bookmarkStart w:id="7" w:name="OLE_LINK52"/>
      <w:bookmarkStart w:id="8" w:name="OLE_LINK45"/>
      <w:bookmarkStart w:id="9" w:name="OLE_LINK61"/>
      <w:r>
        <w:t xml:space="preserve">The following details the delegated authority for the </w:t>
      </w:r>
      <w:r w:rsidR="00C77E17">
        <w:t>OCGC</w:t>
      </w:r>
      <w:r>
        <w:t xml:space="preserve"> and shows how it is placed in the overall University Scheme of Delegation with escalation to People &amp; Organisation</w:t>
      </w:r>
      <w:r w:rsidR="00506863">
        <w:t>al</w:t>
      </w:r>
      <w:r>
        <w:t xml:space="preserve"> Development </w:t>
      </w:r>
      <w:r w:rsidR="00C77E17">
        <w:t>Committee</w:t>
      </w:r>
      <w:r>
        <w:t xml:space="preserve"> or Court: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3544"/>
        <w:gridCol w:w="2835"/>
      </w:tblGrid>
      <w:tr w:rsidR="00C77E17" w:rsidRPr="00C3167F" w14:paraId="6DD3E8D3" w14:textId="77777777" w:rsidTr="00C77E17">
        <w:trPr>
          <w:trHeight w:val="300"/>
        </w:trPr>
        <w:tc>
          <w:tcPr>
            <w:tcW w:w="3261" w:type="dxa"/>
            <w:shd w:val="clear" w:color="000000" w:fill="4F5961"/>
            <w:vAlign w:val="center"/>
            <w:hideMark/>
          </w:tcPr>
          <w:p w14:paraId="7F9E1DF0" w14:textId="77777777" w:rsidR="00C77E17" w:rsidRPr="00084269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842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992" w:type="dxa"/>
            <w:shd w:val="clear" w:color="000000" w:fill="4F5961"/>
            <w:vAlign w:val="center"/>
            <w:hideMark/>
          </w:tcPr>
          <w:p w14:paraId="6FEF6F01" w14:textId="77777777" w:rsidR="00C77E17" w:rsidRPr="00084269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842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3544" w:type="dxa"/>
            <w:shd w:val="clear" w:color="000000" w:fill="4F5961"/>
            <w:hideMark/>
          </w:tcPr>
          <w:p w14:paraId="597918B3" w14:textId="77777777" w:rsidR="00C77E17" w:rsidRPr="00084269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084269">
              <w:rPr>
                <w:color w:val="FFFFFF" w:themeColor="background1"/>
                <w:sz w:val="20"/>
                <w:szCs w:val="20"/>
              </w:rPr>
              <w:t>Decision Making Delegated Authority</w:t>
            </w:r>
          </w:p>
        </w:tc>
        <w:tc>
          <w:tcPr>
            <w:tcW w:w="2835" w:type="dxa"/>
            <w:shd w:val="clear" w:color="000000" w:fill="4F5961"/>
            <w:vAlign w:val="center"/>
            <w:hideMark/>
          </w:tcPr>
          <w:p w14:paraId="15B57847" w14:textId="77777777" w:rsidR="00C77E17" w:rsidRPr="00084269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842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C77E17" w:rsidRPr="00C3167F" w14:paraId="0D1A38E8" w14:textId="77777777" w:rsidTr="00C77E17">
        <w:trPr>
          <w:trHeight w:val="560"/>
        </w:trPr>
        <w:tc>
          <w:tcPr>
            <w:tcW w:w="3261" w:type="dxa"/>
            <w:shd w:val="clear" w:color="auto" w:fill="auto"/>
            <w:vAlign w:val="center"/>
          </w:tcPr>
          <w:p w14:paraId="7597C6DB" w14:textId="77777777" w:rsidR="00C77E17" w:rsidRPr="00C3167F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Tier 2 organisation change proposals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4C874" w14:textId="77777777" w:rsidR="00C77E17" w:rsidRPr="00C3167F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&lt;10 staff affected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B9EF2A" w14:textId="77777777" w:rsidR="00C77E17" w:rsidRPr="00C3167F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Executive Director of People &amp; Organisational Development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1913D1" w14:textId="40BFFFD7" w:rsidR="00C77E17" w:rsidRPr="00C3167F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 and/or People &amp; Organisational Development Committee</w:t>
            </w:r>
          </w:p>
        </w:tc>
      </w:tr>
      <w:tr w:rsidR="00C77E17" w:rsidRPr="00C3167F" w14:paraId="38FA95E5" w14:textId="77777777" w:rsidTr="00C77E17">
        <w:trPr>
          <w:trHeight w:val="560"/>
        </w:trPr>
        <w:tc>
          <w:tcPr>
            <w:tcW w:w="3261" w:type="dxa"/>
            <w:shd w:val="clear" w:color="auto" w:fill="auto"/>
            <w:vAlign w:val="center"/>
          </w:tcPr>
          <w:p w14:paraId="4205D90C" w14:textId="77777777" w:rsidR="00C77E17" w:rsidRPr="00C3167F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Pre-approve Tier 3 organisation change proposals prior to presentation at Court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4871C" w14:textId="77777777" w:rsidR="00C77E17" w:rsidRPr="00C3167F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&gt;10 staff affected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76B39C" w14:textId="77777777" w:rsidR="00C77E17" w:rsidRPr="00C3167F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Executive Director of People &amp; Organisational Development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D52BB6" w14:textId="0046CE8A" w:rsidR="00C77E17" w:rsidRPr="00C3167F" w:rsidRDefault="00C77E17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 and/or People &amp; Organisational Development Committee</w:t>
            </w:r>
          </w:p>
        </w:tc>
      </w:tr>
    </w:tbl>
    <w:bookmarkEnd w:id="6"/>
    <w:bookmarkEnd w:id="7"/>
    <w:bookmarkEnd w:id="8"/>
    <w:bookmarkEnd w:id="9"/>
    <w:p w14:paraId="0055558D" w14:textId="4220C15F" w:rsidR="00A835A6" w:rsidRDefault="00C77E17" w:rsidP="00A835A6">
      <w:pPr>
        <w:pStyle w:val="Heading1"/>
      </w:pPr>
      <w:r>
        <w:t>Committee</w:t>
      </w:r>
      <w:r w:rsidR="00A835A6">
        <w:t xml:space="preserve"> Membership</w:t>
      </w:r>
    </w:p>
    <w:p w14:paraId="64BFB027" w14:textId="10646CA6" w:rsidR="00A835A6" w:rsidRPr="00410CB1" w:rsidRDefault="00A835A6" w:rsidP="00A835A6">
      <w:bookmarkStart w:id="10" w:name="OLE_LINK53"/>
      <w:bookmarkStart w:id="11" w:name="OLE_LINK54"/>
      <w:bookmarkStart w:id="12" w:name="OLE_LINK46"/>
      <w:r>
        <w:t xml:space="preserve">This is an executive chaired </w:t>
      </w:r>
      <w:r w:rsidR="00C77E17">
        <w:t>Committee</w:t>
      </w:r>
      <w:r>
        <w:t xml:space="preserve"> with the following membership:</w:t>
      </w:r>
      <w:bookmarkStart w:id="13" w:name="OLE_LINK7"/>
      <w:bookmarkStart w:id="14" w:name="OLE_LINK8"/>
    </w:p>
    <w:p w14:paraId="28D5AF46" w14:textId="77777777" w:rsidR="00A835A6" w:rsidRDefault="00A835A6" w:rsidP="00A835A6">
      <w:pPr>
        <w:pStyle w:val="ListParagraph"/>
        <w:numPr>
          <w:ilvl w:val="0"/>
          <w:numId w:val="17"/>
        </w:numPr>
      </w:pPr>
      <w:r w:rsidRPr="00445EDF">
        <w:t>Chief Operating Officer</w:t>
      </w:r>
      <w:r>
        <w:t xml:space="preserve"> and University Secretary (Chair)</w:t>
      </w:r>
    </w:p>
    <w:p w14:paraId="28B1CFE5" w14:textId="77777777" w:rsidR="00A835A6" w:rsidRDefault="00A835A6" w:rsidP="00A835A6">
      <w:pPr>
        <w:pStyle w:val="ListParagraph"/>
        <w:numPr>
          <w:ilvl w:val="0"/>
          <w:numId w:val="17"/>
        </w:numPr>
      </w:pPr>
      <w:r>
        <w:rPr>
          <w:rFonts w:eastAsia="Times New Roman"/>
          <w:lang w:eastAsia="en-GB"/>
        </w:rPr>
        <w:t>4 staff members from Colleges and University Services</w:t>
      </w:r>
    </w:p>
    <w:bookmarkEnd w:id="13"/>
    <w:bookmarkEnd w:id="14"/>
    <w:p w14:paraId="48815843" w14:textId="77777777" w:rsidR="00A835A6" w:rsidRDefault="00A835A6" w:rsidP="00A835A6">
      <w:r>
        <w:t>In attendance</w:t>
      </w:r>
    </w:p>
    <w:p w14:paraId="2523D48A" w14:textId="77777777" w:rsidR="00A835A6" w:rsidRDefault="00A835A6" w:rsidP="00A835A6">
      <w:pPr>
        <w:pStyle w:val="ListParagraph"/>
        <w:numPr>
          <w:ilvl w:val="0"/>
          <w:numId w:val="17"/>
        </w:numPr>
      </w:pPr>
      <w:r>
        <w:t>People &amp; Organisational Development representative</w:t>
      </w:r>
    </w:p>
    <w:p w14:paraId="6A9D6F92" w14:textId="77777777" w:rsidR="00A835A6" w:rsidRDefault="00A835A6" w:rsidP="00A835A6">
      <w:pPr>
        <w:pStyle w:val="ListParagraph"/>
        <w:numPr>
          <w:ilvl w:val="0"/>
          <w:numId w:val="17"/>
        </w:numPr>
      </w:pPr>
      <w:r>
        <w:t>Presenter of proposal</w:t>
      </w:r>
    </w:p>
    <w:bookmarkEnd w:id="10"/>
    <w:bookmarkEnd w:id="11"/>
    <w:bookmarkEnd w:id="12"/>
    <w:p w14:paraId="34CE3225" w14:textId="77777777" w:rsidR="00A835A6" w:rsidRDefault="00A835A6" w:rsidP="00A835A6">
      <w:pPr>
        <w:pStyle w:val="Heading1"/>
      </w:pPr>
      <w:r>
        <w:t>Substitutions and Quorum</w:t>
      </w:r>
    </w:p>
    <w:p w14:paraId="656683D0" w14:textId="77777777" w:rsidR="00A835A6" w:rsidRPr="00356803" w:rsidRDefault="00A835A6" w:rsidP="00A835A6">
      <w:bookmarkStart w:id="15" w:name="OLE_LINK55"/>
      <w:bookmarkStart w:id="16" w:name="OLE_LINK56"/>
      <w:r>
        <w:t>There are no substitutions.  There is no minimum attendance.</w:t>
      </w:r>
    </w:p>
    <w:bookmarkEnd w:id="15"/>
    <w:bookmarkEnd w:id="16"/>
    <w:p w14:paraId="3CD55674" w14:textId="77777777" w:rsidR="00765957" w:rsidRDefault="00765957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14:paraId="28DBC29E" w14:textId="6EEE08D2" w:rsidR="00A835A6" w:rsidRDefault="00C77E17" w:rsidP="00A835A6">
      <w:pPr>
        <w:pStyle w:val="Heading1"/>
      </w:pPr>
      <w:r>
        <w:lastRenderedPageBreak/>
        <w:t>Committee</w:t>
      </w:r>
      <w:r w:rsidR="00A835A6">
        <w:t xml:space="preserve"> Member Responsibilities</w:t>
      </w:r>
    </w:p>
    <w:p w14:paraId="11C5EB23" w14:textId="28DFB9DA" w:rsidR="00A835A6" w:rsidRDefault="00A835A6" w:rsidP="00A835A6">
      <w:bookmarkStart w:id="17" w:name="OLE_LINK57"/>
      <w:bookmarkStart w:id="18" w:name="OLE_LINK58"/>
      <w:bookmarkStart w:id="19" w:name="OLE_LINK62"/>
      <w:r>
        <w:t xml:space="preserve">Each </w:t>
      </w:r>
      <w:r w:rsidR="00C77E17">
        <w:t>Committee</w:t>
      </w:r>
      <w:r>
        <w:t xml:space="preserve"> member has a responsibility to:</w:t>
      </w:r>
    </w:p>
    <w:p w14:paraId="70DA58FB" w14:textId="77777777" w:rsidR="00A835A6" w:rsidRDefault="00A835A6" w:rsidP="00A835A6">
      <w:pPr>
        <w:pStyle w:val="ListParagraph"/>
        <w:numPr>
          <w:ilvl w:val="0"/>
          <w:numId w:val="11"/>
        </w:numPr>
      </w:pPr>
      <w:r>
        <w:t>Provide insight, scrutiny and challenge to organisation proposals and assuring business continuity</w:t>
      </w:r>
    </w:p>
    <w:p w14:paraId="03948907" w14:textId="77777777" w:rsidR="00A835A6" w:rsidRDefault="00A835A6" w:rsidP="00A835A6">
      <w:pPr>
        <w:pStyle w:val="ListParagraph"/>
        <w:numPr>
          <w:ilvl w:val="0"/>
          <w:numId w:val="11"/>
        </w:numPr>
      </w:pPr>
      <w:r>
        <w:t>Openly and constructively challenge where change proposals do not meet key regulatory criteria or expose the University to high risk</w:t>
      </w:r>
    </w:p>
    <w:p w14:paraId="74597E1F" w14:textId="77777777" w:rsidR="00A835A6" w:rsidRDefault="00A835A6" w:rsidP="00A835A6">
      <w:pPr>
        <w:pStyle w:val="ListParagraph"/>
        <w:numPr>
          <w:ilvl w:val="0"/>
          <w:numId w:val="11"/>
        </w:numPr>
      </w:pPr>
      <w:r>
        <w:t>Maintain subject matter knowledge in People &amp; OD regulations and trends across HEI</w:t>
      </w:r>
    </w:p>
    <w:p w14:paraId="28486E63" w14:textId="77777777" w:rsidR="00A835A6" w:rsidRDefault="00A835A6" w:rsidP="00A835A6">
      <w:pPr>
        <w:pStyle w:val="ListParagraph"/>
        <w:numPr>
          <w:ilvl w:val="0"/>
          <w:numId w:val="11"/>
        </w:numPr>
      </w:pPr>
      <w:r>
        <w:t xml:space="preserve">Identify, assess and mitigate People &amp; OD risk at strategic University level </w:t>
      </w:r>
    </w:p>
    <w:p w14:paraId="7DBFA101" w14:textId="35AF8B39" w:rsidR="00A835A6" w:rsidRDefault="00A835A6" w:rsidP="00A835A6">
      <w:pPr>
        <w:pStyle w:val="ListParagraph"/>
        <w:numPr>
          <w:ilvl w:val="0"/>
          <w:numId w:val="11"/>
        </w:numPr>
      </w:pPr>
      <w:r>
        <w:t xml:space="preserve">Take ownership for specific actions and risks in the </w:t>
      </w:r>
      <w:r w:rsidR="00C77E17">
        <w:t>OCGC</w:t>
      </w:r>
      <w:r>
        <w:t xml:space="preserve"> Action and Risk Logs.  All actions and risks must have a </w:t>
      </w:r>
      <w:r w:rsidR="00C77E17">
        <w:t>Committee</w:t>
      </w:r>
      <w:r>
        <w:t xml:space="preserve"> member as overall owner</w:t>
      </w:r>
    </w:p>
    <w:p w14:paraId="3B90A9C9" w14:textId="77777777" w:rsidR="00A835A6" w:rsidRDefault="00A835A6" w:rsidP="00A835A6">
      <w:pPr>
        <w:pStyle w:val="ListParagraph"/>
        <w:numPr>
          <w:ilvl w:val="0"/>
          <w:numId w:val="11"/>
        </w:numPr>
      </w:pPr>
      <w:r>
        <w:t>A</w:t>
      </w:r>
      <w:r w:rsidRPr="00E1426A">
        <w:t>ctivity and behaviour should embody the University’s values (</w:t>
      </w:r>
      <w:hyperlink r:id="rId12" w:history="1">
        <w:r w:rsidRPr="00893250">
          <w:rPr>
            <w:rStyle w:val="Hyperlink"/>
            <w:color w:val="0070C0"/>
          </w:rPr>
          <w:t>click here for details</w:t>
        </w:r>
      </w:hyperlink>
      <w:r w:rsidRPr="00E1426A">
        <w:t>)</w:t>
      </w:r>
    </w:p>
    <w:bookmarkEnd w:id="17"/>
    <w:bookmarkEnd w:id="18"/>
    <w:bookmarkEnd w:id="19"/>
    <w:p w14:paraId="37CE58C4" w14:textId="77777777" w:rsidR="00A835A6" w:rsidRPr="00476FC2" w:rsidRDefault="00A835A6" w:rsidP="00A835A6">
      <w:pPr>
        <w:pStyle w:val="Heading1"/>
      </w:pPr>
      <w:r>
        <w:t>Conflict of Interest</w:t>
      </w:r>
    </w:p>
    <w:p w14:paraId="02301B64" w14:textId="0A8BA0D5" w:rsidR="00A835A6" w:rsidRDefault="00A835A6" w:rsidP="00A835A6">
      <w:r w:rsidRPr="005566AF">
        <w:t xml:space="preserve">The </w:t>
      </w:r>
      <w:r w:rsidR="00C77E17">
        <w:t>OCGC</w:t>
      </w:r>
      <w:r w:rsidRPr="005566AF">
        <w:t xml:space="preserve"> will follow the </w:t>
      </w:r>
      <w:hyperlink r:id="rId13" w:history="1">
        <w:r w:rsidRPr="00D22DE3">
          <w:rPr>
            <w:rStyle w:val="Hyperlink"/>
          </w:rPr>
          <w:t>UofG procedure for the management of any conflicts</w:t>
        </w:r>
      </w:hyperlink>
      <w:r>
        <w:t>.</w:t>
      </w:r>
      <w:r w:rsidRPr="005566AF">
        <w:t xml:space="preserve">  The procedure </w:t>
      </w:r>
      <w:r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p w14:paraId="0A978A0C" w14:textId="77777777" w:rsidR="00A835A6" w:rsidRDefault="00A835A6" w:rsidP="00A835A6">
      <w:pPr>
        <w:pStyle w:val="Heading1"/>
      </w:pPr>
      <w:r>
        <w:t>Format and cadence</w:t>
      </w:r>
    </w:p>
    <w:p w14:paraId="7297A31C" w14:textId="77777777" w:rsidR="00A835A6" w:rsidRDefault="00A835A6" w:rsidP="00A835A6">
      <w:p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</w:p>
    <w:p w14:paraId="3E595536" w14:textId="57807EC1" w:rsidR="00A835A6" w:rsidRPr="00097857" w:rsidRDefault="00A835A6" w:rsidP="00A835A6">
      <w:p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bookmarkStart w:id="20" w:name="OLE_LINK59"/>
      <w:bookmarkStart w:id="21" w:name="OLE_LINK60"/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The </w:t>
      </w:r>
      <w:r w:rsidR="00C77E17">
        <w:rPr>
          <w:rFonts w:eastAsia="Times New Roman"/>
          <w:color w:val="000000"/>
          <w:bdr w:val="none" w:sz="0" w:space="0" w:color="auto" w:frame="1"/>
          <w:lang w:eastAsia="en-GB"/>
        </w:rPr>
        <w:t>OCGC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 shall</w:t>
      </w:r>
      <w:r w:rsidRPr="00097857">
        <w:rPr>
          <w:rFonts w:eastAsia="Times New Roman"/>
          <w:color w:val="000000"/>
          <w:bdr w:val="none" w:sz="0" w:space="0" w:color="auto" w:frame="1"/>
          <w:lang w:eastAsia="en-GB"/>
        </w:rPr>
        <w:t xml:space="preserve"> meet 3 times per year, with the power to call extra</w:t>
      </w:r>
      <w:r w:rsidRPr="00097857">
        <w:rPr>
          <w:rFonts w:ascii="Cambria Math" w:eastAsia="Times New Roman" w:hAnsi="Cambria Math" w:cs="Cambria Math"/>
          <w:color w:val="000000"/>
          <w:bdr w:val="none" w:sz="0" w:space="0" w:color="auto" w:frame="1"/>
          <w:lang w:eastAsia="en-GB"/>
        </w:rPr>
        <w:t>‐</w:t>
      </w:r>
      <w:r w:rsidRPr="00097857">
        <w:rPr>
          <w:rFonts w:eastAsia="Times New Roman"/>
          <w:color w:val="000000"/>
          <w:bdr w:val="none" w:sz="0" w:space="0" w:color="auto" w:frame="1"/>
          <w:lang w:eastAsia="en-GB"/>
        </w:rPr>
        <w:t>ordinary meetings as required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>.  Meetings shall be 2 hours.</w:t>
      </w:r>
    </w:p>
    <w:p w14:paraId="0426C07A" w14:textId="77777777" w:rsidR="00A835A6" w:rsidRPr="000B5E4C" w:rsidRDefault="00A835A6" w:rsidP="00A835A6">
      <w:r w:rsidRPr="000B5E4C">
        <w:rPr>
          <w:b/>
          <w:bCs/>
        </w:rPr>
        <w:t>INPUTS</w:t>
      </w:r>
    </w:p>
    <w:p w14:paraId="5DB2C336" w14:textId="2AF145CC" w:rsidR="00A835A6" w:rsidRDefault="00A835A6" w:rsidP="00A835A6">
      <w:pPr>
        <w:numPr>
          <w:ilvl w:val="0"/>
          <w:numId w:val="20"/>
        </w:numPr>
      </w:pPr>
      <w:r>
        <w:t xml:space="preserve">Organisation change proposals (submitted via Professional Services </w:t>
      </w:r>
      <w:r w:rsidR="00C77E17">
        <w:t>Committee</w:t>
      </w:r>
      <w:r>
        <w:t>)</w:t>
      </w:r>
    </w:p>
    <w:p w14:paraId="2DF7E5FB" w14:textId="77777777" w:rsidR="00A835A6" w:rsidRPr="000B5E4C" w:rsidRDefault="00A835A6" w:rsidP="00A835A6">
      <w:pPr>
        <w:numPr>
          <w:ilvl w:val="0"/>
          <w:numId w:val="20"/>
        </w:numPr>
      </w:pPr>
      <w:r>
        <w:t>Equality and diversity monitoring analysis</w:t>
      </w:r>
    </w:p>
    <w:p w14:paraId="1A3E8F39" w14:textId="77777777" w:rsidR="00A835A6" w:rsidRPr="000B5E4C" w:rsidRDefault="00A835A6" w:rsidP="00A835A6">
      <w:pPr>
        <w:numPr>
          <w:ilvl w:val="0"/>
          <w:numId w:val="20"/>
        </w:numPr>
      </w:pPr>
      <w:r w:rsidRPr="000B5E4C">
        <w:t>Summary of changes made to action log</w:t>
      </w:r>
    </w:p>
    <w:p w14:paraId="6D094AA8" w14:textId="77777777" w:rsidR="00A835A6" w:rsidRPr="000B5E4C" w:rsidRDefault="00A835A6" w:rsidP="00A835A6">
      <w:r w:rsidRPr="000B5E4C">
        <w:rPr>
          <w:b/>
          <w:bCs/>
        </w:rPr>
        <w:t>OUTPUTS</w:t>
      </w:r>
    </w:p>
    <w:p w14:paraId="1881FDC7" w14:textId="77777777" w:rsidR="00A835A6" w:rsidRDefault="00A835A6" w:rsidP="00A835A6">
      <w:pPr>
        <w:numPr>
          <w:ilvl w:val="0"/>
          <w:numId w:val="21"/>
        </w:numPr>
      </w:pPr>
      <w:r>
        <w:t>Revised papers and reports to Court</w:t>
      </w:r>
    </w:p>
    <w:p w14:paraId="4DF180C0" w14:textId="77777777" w:rsidR="00A835A6" w:rsidRPr="000B5E4C" w:rsidRDefault="00A835A6" w:rsidP="00A835A6">
      <w:pPr>
        <w:numPr>
          <w:ilvl w:val="0"/>
          <w:numId w:val="21"/>
        </w:numPr>
      </w:pPr>
      <w:r w:rsidRPr="000B5E4C">
        <w:t>Decision Log</w:t>
      </w:r>
    </w:p>
    <w:p w14:paraId="44E52E33" w14:textId="77777777" w:rsidR="00A835A6" w:rsidRPr="000B5E4C" w:rsidRDefault="00A835A6" w:rsidP="00A835A6">
      <w:pPr>
        <w:numPr>
          <w:ilvl w:val="0"/>
          <w:numId w:val="21"/>
        </w:numPr>
      </w:pPr>
      <w:r w:rsidRPr="000B5E4C">
        <w:t>Action Log</w:t>
      </w:r>
    </w:p>
    <w:p w14:paraId="272A3C50" w14:textId="77777777" w:rsidR="00A835A6" w:rsidRPr="005E4BE6" w:rsidRDefault="00A835A6" w:rsidP="00A835A6">
      <w:pPr>
        <w:numPr>
          <w:ilvl w:val="0"/>
          <w:numId w:val="21"/>
        </w:numPr>
      </w:pPr>
      <w:r w:rsidRPr="000B5E4C">
        <w:t>Minutes</w:t>
      </w:r>
      <w:bookmarkEnd w:id="20"/>
      <w:bookmarkEnd w:id="21"/>
    </w:p>
    <w:p w14:paraId="70D5E0DE" w14:textId="47B5ABAF" w:rsidR="005E4BE6" w:rsidRPr="00A835A6" w:rsidRDefault="005E4BE6" w:rsidP="00A835A6"/>
    <w:sectPr w:rsidR="005E4BE6" w:rsidRPr="00A835A6" w:rsidSect="00BB27D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20F4" w14:textId="77777777" w:rsidR="00D739F4" w:rsidRDefault="00D739F4" w:rsidP="00F46591">
      <w:r>
        <w:separator/>
      </w:r>
    </w:p>
  </w:endnote>
  <w:endnote w:type="continuationSeparator" w:id="0">
    <w:p w14:paraId="39A328C4" w14:textId="77777777" w:rsidR="00D739F4" w:rsidRDefault="00D739F4" w:rsidP="00F46591">
      <w:r>
        <w:continuationSeparator/>
      </w:r>
    </w:p>
  </w:endnote>
  <w:endnote w:type="continuationNotice" w:id="1">
    <w:p w14:paraId="4ADF7BC8" w14:textId="77777777" w:rsidR="00D739F4" w:rsidRDefault="00D739F4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&#13;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EndPr/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0384A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" adj="21600" fillcolor="#324950 [1609]" stroked="f">
                  <o:lock v:ext="edit" aspectratio="t"/>
                  <v:textbox>
                    <w:txbxContent>
                      <w:p w14:paraId="10ADACB9" w14:textId="6C60C6C0" w:rsidR="00C13793" w:rsidRDefault="00C13793" w:rsidP="00F46591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91C9B" w:rsidRPr="00C91C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AD40" w14:textId="77777777" w:rsidR="00D739F4" w:rsidRDefault="00D739F4" w:rsidP="00F46591">
      <w:r>
        <w:separator/>
      </w:r>
    </w:p>
  </w:footnote>
  <w:footnote w:type="continuationSeparator" w:id="0">
    <w:p w14:paraId="360D15AE" w14:textId="77777777" w:rsidR="00D739F4" w:rsidRDefault="00D739F4" w:rsidP="00F46591">
      <w:r>
        <w:continuationSeparator/>
      </w:r>
    </w:p>
  </w:footnote>
  <w:footnote w:type="continuationNotice" w:id="1">
    <w:p w14:paraId="038BF5DF" w14:textId="77777777" w:rsidR="00D739F4" w:rsidRDefault="00D739F4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39CCBAE7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493">
      <w:rPr>
        <w:b/>
        <w:bCs/>
        <w:color w:val="7F7F7F" w:themeColor="text1" w:themeTint="80"/>
        <w:sz w:val="32"/>
        <w:szCs w:val="32"/>
      </w:rPr>
      <w:t>Organisation Change Governance</w:t>
    </w:r>
    <w:r w:rsidR="2D6A2511">
      <w:rPr>
        <w:b/>
        <w:bCs/>
        <w:color w:val="7F7F7F" w:themeColor="text1" w:themeTint="80"/>
        <w:sz w:val="32"/>
        <w:szCs w:val="32"/>
      </w:rPr>
      <w:t xml:space="preserve"> </w:t>
    </w:r>
    <w:r w:rsidR="00C77E17">
      <w:rPr>
        <w:b/>
        <w:bCs/>
        <w:color w:val="7F7F7F" w:themeColor="text1" w:themeTint="80"/>
        <w:sz w:val="32"/>
        <w:szCs w:val="32"/>
      </w:rPr>
      <w:t>Committee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4"/>
  </w:num>
  <w:num w:numId="5">
    <w:abstractNumId w:val="3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18"/>
  </w:num>
  <w:num w:numId="15">
    <w:abstractNumId w:val="23"/>
  </w:num>
  <w:num w:numId="16">
    <w:abstractNumId w:val="8"/>
  </w:num>
  <w:num w:numId="17">
    <w:abstractNumId w:val="6"/>
  </w:num>
  <w:num w:numId="18">
    <w:abstractNumId w:val="27"/>
  </w:num>
  <w:num w:numId="19">
    <w:abstractNumId w:val="11"/>
  </w:num>
  <w:num w:numId="20">
    <w:abstractNumId w:val="9"/>
  </w:num>
  <w:num w:numId="21">
    <w:abstractNumId w:val="12"/>
  </w:num>
  <w:num w:numId="22">
    <w:abstractNumId w:val="16"/>
  </w:num>
  <w:num w:numId="23">
    <w:abstractNumId w:val="25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"/>
  </w:num>
  <w:num w:numId="32">
    <w:abstractNumId w:val="5"/>
  </w:num>
  <w:num w:numId="33">
    <w:abstractNumId w:val="15"/>
  </w:num>
  <w:num w:numId="34">
    <w:abstractNumId w:val="13"/>
  </w:num>
  <w:num w:numId="35">
    <w:abstractNumId w:val="10"/>
  </w:num>
  <w:num w:numId="3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69B"/>
    <w:rsid w:val="000046A1"/>
    <w:rsid w:val="00004F51"/>
    <w:rsid w:val="00005A8A"/>
    <w:rsid w:val="00006069"/>
    <w:rsid w:val="00006925"/>
    <w:rsid w:val="0000723E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1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0C5B"/>
    <w:rsid w:val="00061EDB"/>
    <w:rsid w:val="00062327"/>
    <w:rsid w:val="00062E55"/>
    <w:rsid w:val="000631D0"/>
    <w:rsid w:val="00063246"/>
    <w:rsid w:val="00063359"/>
    <w:rsid w:val="000638B2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6A2"/>
    <w:rsid w:val="00082737"/>
    <w:rsid w:val="000841CD"/>
    <w:rsid w:val="00084269"/>
    <w:rsid w:val="000843F7"/>
    <w:rsid w:val="000845DA"/>
    <w:rsid w:val="00084663"/>
    <w:rsid w:val="00085DCF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142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57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3C2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71A"/>
    <w:rsid w:val="000D355E"/>
    <w:rsid w:val="000D36D7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16A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56C"/>
    <w:rsid w:val="001209AE"/>
    <w:rsid w:val="00120A47"/>
    <w:rsid w:val="001215F6"/>
    <w:rsid w:val="00121AD9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16F"/>
    <w:rsid w:val="00127850"/>
    <w:rsid w:val="00127A22"/>
    <w:rsid w:val="0013048E"/>
    <w:rsid w:val="00130A58"/>
    <w:rsid w:val="00130CF0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79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3A7"/>
    <w:rsid w:val="00153802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E25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752A"/>
    <w:rsid w:val="00187738"/>
    <w:rsid w:val="00187E46"/>
    <w:rsid w:val="00187F61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159"/>
    <w:rsid w:val="001F22D4"/>
    <w:rsid w:val="001F248C"/>
    <w:rsid w:val="001F2657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5B"/>
    <w:rsid w:val="00203335"/>
    <w:rsid w:val="00203489"/>
    <w:rsid w:val="00203BAA"/>
    <w:rsid w:val="00203C7E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4F4A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CB"/>
    <w:rsid w:val="002470C5"/>
    <w:rsid w:val="002479C3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57F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5FB"/>
    <w:rsid w:val="002906F9"/>
    <w:rsid w:val="0029182B"/>
    <w:rsid w:val="00291A35"/>
    <w:rsid w:val="00291C50"/>
    <w:rsid w:val="00291DEF"/>
    <w:rsid w:val="00292404"/>
    <w:rsid w:val="00292512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DF"/>
    <w:rsid w:val="00296860"/>
    <w:rsid w:val="00296A54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E46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5BC"/>
    <w:rsid w:val="002D0A52"/>
    <w:rsid w:val="002D0F71"/>
    <w:rsid w:val="002D1330"/>
    <w:rsid w:val="002D16EA"/>
    <w:rsid w:val="002D18E2"/>
    <w:rsid w:val="002D28BF"/>
    <w:rsid w:val="002D2A0C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6BEA"/>
    <w:rsid w:val="003070C4"/>
    <w:rsid w:val="0030716B"/>
    <w:rsid w:val="003074F7"/>
    <w:rsid w:val="00307676"/>
    <w:rsid w:val="00307DD0"/>
    <w:rsid w:val="00307E2D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641"/>
    <w:rsid w:val="00320104"/>
    <w:rsid w:val="003204D9"/>
    <w:rsid w:val="0032053F"/>
    <w:rsid w:val="0032069E"/>
    <w:rsid w:val="003208B9"/>
    <w:rsid w:val="0032128A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4F1"/>
    <w:rsid w:val="00325733"/>
    <w:rsid w:val="003258D1"/>
    <w:rsid w:val="0032590E"/>
    <w:rsid w:val="003300A4"/>
    <w:rsid w:val="003308EF"/>
    <w:rsid w:val="003309FC"/>
    <w:rsid w:val="00330B24"/>
    <w:rsid w:val="00331973"/>
    <w:rsid w:val="0033209D"/>
    <w:rsid w:val="003321D6"/>
    <w:rsid w:val="00332771"/>
    <w:rsid w:val="003332B0"/>
    <w:rsid w:val="00333374"/>
    <w:rsid w:val="003345B4"/>
    <w:rsid w:val="003348DD"/>
    <w:rsid w:val="00334D45"/>
    <w:rsid w:val="00334F2F"/>
    <w:rsid w:val="00335196"/>
    <w:rsid w:val="00335BF5"/>
    <w:rsid w:val="003366B7"/>
    <w:rsid w:val="00337366"/>
    <w:rsid w:val="00337944"/>
    <w:rsid w:val="00337C3A"/>
    <w:rsid w:val="00340017"/>
    <w:rsid w:val="00340A35"/>
    <w:rsid w:val="00340D5D"/>
    <w:rsid w:val="00340EA3"/>
    <w:rsid w:val="0034113F"/>
    <w:rsid w:val="00341720"/>
    <w:rsid w:val="00341754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079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5B4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4C6"/>
    <w:rsid w:val="003A66B0"/>
    <w:rsid w:val="003A7675"/>
    <w:rsid w:val="003A76D8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0B9B"/>
    <w:rsid w:val="003C126E"/>
    <w:rsid w:val="003C133A"/>
    <w:rsid w:val="003C17AB"/>
    <w:rsid w:val="003C1A20"/>
    <w:rsid w:val="003C1C0E"/>
    <w:rsid w:val="003C222D"/>
    <w:rsid w:val="003C2BE4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0C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2044B"/>
    <w:rsid w:val="004205FE"/>
    <w:rsid w:val="00420715"/>
    <w:rsid w:val="004207B8"/>
    <w:rsid w:val="00420E5C"/>
    <w:rsid w:val="00422217"/>
    <w:rsid w:val="00422487"/>
    <w:rsid w:val="004224A2"/>
    <w:rsid w:val="004225CA"/>
    <w:rsid w:val="004227C1"/>
    <w:rsid w:val="004228BC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53"/>
    <w:rsid w:val="004424BE"/>
    <w:rsid w:val="00442553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963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FC4"/>
    <w:rsid w:val="00454FD6"/>
    <w:rsid w:val="00455701"/>
    <w:rsid w:val="004557AC"/>
    <w:rsid w:val="00455884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342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7DF"/>
    <w:rsid w:val="00474EF6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80781"/>
    <w:rsid w:val="004809A2"/>
    <w:rsid w:val="00480C75"/>
    <w:rsid w:val="0048108A"/>
    <w:rsid w:val="00481B1A"/>
    <w:rsid w:val="004820AB"/>
    <w:rsid w:val="0048210B"/>
    <w:rsid w:val="0048217D"/>
    <w:rsid w:val="00482245"/>
    <w:rsid w:val="0048253E"/>
    <w:rsid w:val="00482761"/>
    <w:rsid w:val="00482C49"/>
    <w:rsid w:val="004840B0"/>
    <w:rsid w:val="004844D4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C66"/>
    <w:rsid w:val="004A1E41"/>
    <w:rsid w:val="004A2167"/>
    <w:rsid w:val="004A22BC"/>
    <w:rsid w:val="004A25BE"/>
    <w:rsid w:val="004A36E1"/>
    <w:rsid w:val="004A43DF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04F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827"/>
    <w:rsid w:val="004B5F19"/>
    <w:rsid w:val="004B6182"/>
    <w:rsid w:val="004B64B9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D4F"/>
    <w:rsid w:val="004D325F"/>
    <w:rsid w:val="004D3302"/>
    <w:rsid w:val="004D3378"/>
    <w:rsid w:val="004D33C9"/>
    <w:rsid w:val="004D3A16"/>
    <w:rsid w:val="004D464C"/>
    <w:rsid w:val="004D4C19"/>
    <w:rsid w:val="004D4FA8"/>
    <w:rsid w:val="004D5231"/>
    <w:rsid w:val="004D5AA0"/>
    <w:rsid w:val="004D60C0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6863"/>
    <w:rsid w:val="00507538"/>
    <w:rsid w:val="005103BD"/>
    <w:rsid w:val="0051040D"/>
    <w:rsid w:val="00511024"/>
    <w:rsid w:val="00511559"/>
    <w:rsid w:val="005118BC"/>
    <w:rsid w:val="005119FF"/>
    <w:rsid w:val="00511C6D"/>
    <w:rsid w:val="00511EBC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86C"/>
    <w:rsid w:val="00571D84"/>
    <w:rsid w:val="0057204C"/>
    <w:rsid w:val="005728EC"/>
    <w:rsid w:val="00572B96"/>
    <w:rsid w:val="005738A3"/>
    <w:rsid w:val="005747CD"/>
    <w:rsid w:val="00574B20"/>
    <w:rsid w:val="00574D0E"/>
    <w:rsid w:val="0057568D"/>
    <w:rsid w:val="0057589A"/>
    <w:rsid w:val="00575EDF"/>
    <w:rsid w:val="005760B0"/>
    <w:rsid w:val="0057630E"/>
    <w:rsid w:val="00576629"/>
    <w:rsid w:val="005775B7"/>
    <w:rsid w:val="005778B2"/>
    <w:rsid w:val="00577D28"/>
    <w:rsid w:val="00577D5D"/>
    <w:rsid w:val="00577DF4"/>
    <w:rsid w:val="0058023C"/>
    <w:rsid w:val="005807AF"/>
    <w:rsid w:val="00580CFE"/>
    <w:rsid w:val="00580D37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17"/>
    <w:rsid w:val="00590FA5"/>
    <w:rsid w:val="005914C4"/>
    <w:rsid w:val="00591C8C"/>
    <w:rsid w:val="00591D16"/>
    <w:rsid w:val="00591E9B"/>
    <w:rsid w:val="00592565"/>
    <w:rsid w:val="00592AB4"/>
    <w:rsid w:val="0059310B"/>
    <w:rsid w:val="00593F7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581"/>
    <w:rsid w:val="005B2637"/>
    <w:rsid w:val="005B35FA"/>
    <w:rsid w:val="005B36B5"/>
    <w:rsid w:val="005B37D0"/>
    <w:rsid w:val="005B3F0C"/>
    <w:rsid w:val="005B45D7"/>
    <w:rsid w:val="005B45E9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5218"/>
    <w:rsid w:val="005C5865"/>
    <w:rsid w:val="005C58E2"/>
    <w:rsid w:val="005C649D"/>
    <w:rsid w:val="005C64C8"/>
    <w:rsid w:val="005C65B6"/>
    <w:rsid w:val="005C66E1"/>
    <w:rsid w:val="005C71BC"/>
    <w:rsid w:val="005C78B2"/>
    <w:rsid w:val="005D029F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5DB"/>
    <w:rsid w:val="005F5600"/>
    <w:rsid w:val="005F564F"/>
    <w:rsid w:val="005F569A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AFD"/>
    <w:rsid w:val="006040A4"/>
    <w:rsid w:val="006040B3"/>
    <w:rsid w:val="006040CA"/>
    <w:rsid w:val="00604120"/>
    <w:rsid w:val="006045D6"/>
    <w:rsid w:val="00604851"/>
    <w:rsid w:val="00605116"/>
    <w:rsid w:val="006059DC"/>
    <w:rsid w:val="00605D75"/>
    <w:rsid w:val="00605E5C"/>
    <w:rsid w:val="0060604D"/>
    <w:rsid w:val="00606486"/>
    <w:rsid w:val="00606701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3F7"/>
    <w:rsid w:val="00624A19"/>
    <w:rsid w:val="00624BFD"/>
    <w:rsid w:val="00624EDE"/>
    <w:rsid w:val="006251A3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D73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38AF"/>
    <w:rsid w:val="00653903"/>
    <w:rsid w:val="00653C9E"/>
    <w:rsid w:val="00653F24"/>
    <w:rsid w:val="00653FEA"/>
    <w:rsid w:val="0065497D"/>
    <w:rsid w:val="00654D67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129D"/>
    <w:rsid w:val="00671991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6CE"/>
    <w:rsid w:val="006807B6"/>
    <w:rsid w:val="00680814"/>
    <w:rsid w:val="0068096E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866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1A37"/>
    <w:rsid w:val="006C22E5"/>
    <w:rsid w:val="006C2568"/>
    <w:rsid w:val="006C3284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019"/>
    <w:rsid w:val="006C7591"/>
    <w:rsid w:val="006C7604"/>
    <w:rsid w:val="006C7CD5"/>
    <w:rsid w:val="006D0872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3878"/>
    <w:rsid w:val="006D4049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4C5D"/>
    <w:rsid w:val="006E574A"/>
    <w:rsid w:val="006E5BF6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3E4"/>
    <w:rsid w:val="00700448"/>
    <w:rsid w:val="00700D5F"/>
    <w:rsid w:val="00700D9E"/>
    <w:rsid w:val="007010BA"/>
    <w:rsid w:val="00701EC0"/>
    <w:rsid w:val="0070232B"/>
    <w:rsid w:val="007024B5"/>
    <w:rsid w:val="00703AA4"/>
    <w:rsid w:val="00703DA8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3FF2"/>
    <w:rsid w:val="00734A45"/>
    <w:rsid w:val="00734C19"/>
    <w:rsid w:val="00734EED"/>
    <w:rsid w:val="0073523D"/>
    <w:rsid w:val="00735B50"/>
    <w:rsid w:val="00735EE7"/>
    <w:rsid w:val="007366EF"/>
    <w:rsid w:val="00736957"/>
    <w:rsid w:val="00736FD2"/>
    <w:rsid w:val="0073724C"/>
    <w:rsid w:val="0073743C"/>
    <w:rsid w:val="00737B13"/>
    <w:rsid w:val="00740FC0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4B95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5957"/>
    <w:rsid w:val="00765B5B"/>
    <w:rsid w:val="00766175"/>
    <w:rsid w:val="007675E7"/>
    <w:rsid w:val="00770559"/>
    <w:rsid w:val="007712C4"/>
    <w:rsid w:val="00771617"/>
    <w:rsid w:val="007716DB"/>
    <w:rsid w:val="007717F1"/>
    <w:rsid w:val="007719BF"/>
    <w:rsid w:val="00772309"/>
    <w:rsid w:val="007723CF"/>
    <w:rsid w:val="007727D5"/>
    <w:rsid w:val="00772CFC"/>
    <w:rsid w:val="007732B4"/>
    <w:rsid w:val="007732C2"/>
    <w:rsid w:val="00773A3D"/>
    <w:rsid w:val="00773DB8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B0F"/>
    <w:rsid w:val="00791D7D"/>
    <w:rsid w:val="00792958"/>
    <w:rsid w:val="0079334F"/>
    <w:rsid w:val="00793441"/>
    <w:rsid w:val="00793995"/>
    <w:rsid w:val="007939D5"/>
    <w:rsid w:val="00793B65"/>
    <w:rsid w:val="00793B96"/>
    <w:rsid w:val="00793D89"/>
    <w:rsid w:val="007941C3"/>
    <w:rsid w:val="00794408"/>
    <w:rsid w:val="007945E8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729"/>
    <w:rsid w:val="007A5AD6"/>
    <w:rsid w:val="007A5CE5"/>
    <w:rsid w:val="007A5EAC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5A42"/>
    <w:rsid w:val="007B6288"/>
    <w:rsid w:val="007B6322"/>
    <w:rsid w:val="007B6A0C"/>
    <w:rsid w:val="007B6B09"/>
    <w:rsid w:val="007B6C96"/>
    <w:rsid w:val="007B6FB5"/>
    <w:rsid w:val="007B70C4"/>
    <w:rsid w:val="007B7EEB"/>
    <w:rsid w:val="007C08EF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6479"/>
    <w:rsid w:val="007C7369"/>
    <w:rsid w:val="007C75AC"/>
    <w:rsid w:val="007C7A4D"/>
    <w:rsid w:val="007C7CF5"/>
    <w:rsid w:val="007D0290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4186"/>
    <w:rsid w:val="00824253"/>
    <w:rsid w:val="008245AC"/>
    <w:rsid w:val="00824B10"/>
    <w:rsid w:val="00824EF3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21B4"/>
    <w:rsid w:val="008321CF"/>
    <w:rsid w:val="00832722"/>
    <w:rsid w:val="00832837"/>
    <w:rsid w:val="00832959"/>
    <w:rsid w:val="00834184"/>
    <w:rsid w:val="00834662"/>
    <w:rsid w:val="008347ED"/>
    <w:rsid w:val="00835074"/>
    <w:rsid w:val="0083554B"/>
    <w:rsid w:val="00835E61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767"/>
    <w:rsid w:val="008429EE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C40"/>
    <w:rsid w:val="00850D1F"/>
    <w:rsid w:val="008510CA"/>
    <w:rsid w:val="0085174B"/>
    <w:rsid w:val="00851871"/>
    <w:rsid w:val="00851D92"/>
    <w:rsid w:val="0085200F"/>
    <w:rsid w:val="008525B4"/>
    <w:rsid w:val="00852C0F"/>
    <w:rsid w:val="00853390"/>
    <w:rsid w:val="008534D8"/>
    <w:rsid w:val="00853949"/>
    <w:rsid w:val="00853E1D"/>
    <w:rsid w:val="0085460E"/>
    <w:rsid w:val="00854C3D"/>
    <w:rsid w:val="008550F2"/>
    <w:rsid w:val="00855549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519F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ADA"/>
    <w:rsid w:val="008B5B75"/>
    <w:rsid w:val="008B5DD0"/>
    <w:rsid w:val="008B640E"/>
    <w:rsid w:val="008B6815"/>
    <w:rsid w:val="008B6AB5"/>
    <w:rsid w:val="008B6D53"/>
    <w:rsid w:val="008B7640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50FB"/>
    <w:rsid w:val="009352AE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0B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4CA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1F2B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254C"/>
    <w:rsid w:val="009C2900"/>
    <w:rsid w:val="009C2B25"/>
    <w:rsid w:val="009C3712"/>
    <w:rsid w:val="009C3863"/>
    <w:rsid w:val="009C3A83"/>
    <w:rsid w:val="009C3D45"/>
    <w:rsid w:val="009C4027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F0540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EFE"/>
    <w:rsid w:val="00A035B1"/>
    <w:rsid w:val="00A03A48"/>
    <w:rsid w:val="00A04C34"/>
    <w:rsid w:val="00A04E5A"/>
    <w:rsid w:val="00A04E72"/>
    <w:rsid w:val="00A04F3A"/>
    <w:rsid w:val="00A04FD2"/>
    <w:rsid w:val="00A05AB3"/>
    <w:rsid w:val="00A05BAE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42A"/>
    <w:rsid w:val="00A33BAE"/>
    <w:rsid w:val="00A34CB3"/>
    <w:rsid w:val="00A35674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696"/>
    <w:rsid w:val="00A41736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6B0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4D7"/>
    <w:rsid w:val="00A70B9F"/>
    <w:rsid w:val="00A71951"/>
    <w:rsid w:val="00A71CAC"/>
    <w:rsid w:val="00A71EA2"/>
    <w:rsid w:val="00A721B6"/>
    <w:rsid w:val="00A722EF"/>
    <w:rsid w:val="00A72624"/>
    <w:rsid w:val="00A72924"/>
    <w:rsid w:val="00A72E28"/>
    <w:rsid w:val="00A72FBF"/>
    <w:rsid w:val="00A7398E"/>
    <w:rsid w:val="00A73E77"/>
    <w:rsid w:val="00A746BF"/>
    <w:rsid w:val="00A746D0"/>
    <w:rsid w:val="00A74B81"/>
    <w:rsid w:val="00A7555C"/>
    <w:rsid w:val="00A75C47"/>
    <w:rsid w:val="00A75F29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5A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3E6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67DC"/>
    <w:rsid w:val="00AC6813"/>
    <w:rsid w:val="00AC6A72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993"/>
    <w:rsid w:val="00AD7B9C"/>
    <w:rsid w:val="00AD7C9B"/>
    <w:rsid w:val="00AE00E4"/>
    <w:rsid w:val="00AE05B2"/>
    <w:rsid w:val="00AE1EA4"/>
    <w:rsid w:val="00AE2493"/>
    <w:rsid w:val="00AE24D4"/>
    <w:rsid w:val="00AE2B9D"/>
    <w:rsid w:val="00AE2F8A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AAD"/>
    <w:rsid w:val="00AF1C35"/>
    <w:rsid w:val="00AF216A"/>
    <w:rsid w:val="00AF28D3"/>
    <w:rsid w:val="00AF2AC9"/>
    <w:rsid w:val="00AF2AF8"/>
    <w:rsid w:val="00AF2E4C"/>
    <w:rsid w:val="00AF3019"/>
    <w:rsid w:val="00AF334D"/>
    <w:rsid w:val="00AF3B0C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BB5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6541"/>
    <w:rsid w:val="00B36CED"/>
    <w:rsid w:val="00B37064"/>
    <w:rsid w:val="00B37393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467A"/>
    <w:rsid w:val="00B54D2C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3EE"/>
    <w:rsid w:val="00B70663"/>
    <w:rsid w:val="00B707F8"/>
    <w:rsid w:val="00B70E53"/>
    <w:rsid w:val="00B7105B"/>
    <w:rsid w:val="00B71CC8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671"/>
    <w:rsid w:val="00BA475E"/>
    <w:rsid w:val="00BA4BF5"/>
    <w:rsid w:val="00BA5485"/>
    <w:rsid w:val="00BA56A3"/>
    <w:rsid w:val="00BA5B8B"/>
    <w:rsid w:val="00BA69C9"/>
    <w:rsid w:val="00BA6A37"/>
    <w:rsid w:val="00BA6D56"/>
    <w:rsid w:val="00BA7090"/>
    <w:rsid w:val="00BA78F8"/>
    <w:rsid w:val="00BA7FCD"/>
    <w:rsid w:val="00BB015E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8F1"/>
    <w:rsid w:val="00BD6B1E"/>
    <w:rsid w:val="00BD73E0"/>
    <w:rsid w:val="00BD7D8B"/>
    <w:rsid w:val="00BD7F75"/>
    <w:rsid w:val="00BE0676"/>
    <w:rsid w:val="00BE08ED"/>
    <w:rsid w:val="00BE0F66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2837"/>
    <w:rsid w:val="00BF3E00"/>
    <w:rsid w:val="00BF4639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B3F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42B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6517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77E17"/>
    <w:rsid w:val="00C80CFA"/>
    <w:rsid w:val="00C80FAD"/>
    <w:rsid w:val="00C81A4E"/>
    <w:rsid w:val="00C81C48"/>
    <w:rsid w:val="00C81D0D"/>
    <w:rsid w:val="00C82108"/>
    <w:rsid w:val="00C82DC7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1FE5"/>
    <w:rsid w:val="00CB2169"/>
    <w:rsid w:val="00CB25BD"/>
    <w:rsid w:val="00CB25E2"/>
    <w:rsid w:val="00CB2827"/>
    <w:rsid w:val="00CB284A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EFD"/>
    <w:rsid w:val="00CF5C81"/>
    <w:rsid w:val="00CF5F67"/>
    <w:rsid w:val="00CF62C6"/>
    <w:rsid w:val="00CF63BC"/>
    <w:rsid w:val="00CF6D57"/>
    <w:rsid w:val="00CF7006"/>
    <w:rsid w:val="00CF728E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876"/>
    <w:rsid w:val="00D02BDF"/>
    <w:rsid w:val="00D02ECB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215"/>
    <w:rsid w:val="00D20501"/>
    <w:rsid w:val="00D20631"/>
    <w:rsid w:val="00D20737"/>
    <w:rsid w:val="00D20AC7"/>
    <w:rsid w:val="00D21381"/>
    <w:rsid w:val="00D219D6"/>
    <w:rsid w:val="00D22871"/>
    <w:rsid w:val="00D22DE3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57B21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70452"/>
    <w:rsid w:val="00D70C56"/>
    <w:rsid w:val="00D70D90"/>
    <w:rsid w:val="00D71A36"/>
    <w:rsid w:val="00D7289E"/>
    <w:rsid w:val="00D72BC0"/>
    <w:rsid w:val="00D731C1"/>
    <w:rsid w:val="00D739F4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A81"/>
    <w:rsid w:val="00D76D1F"/>
    <w:rsid w:val="00D77061"/>
    <w:rsid w:val="00D7719F"/>
    <w:rsid w:val="00D77A64"/>
    <w:rsid w:val="00D77B4B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6E8"/>
    <w:rsid w:val="00DA5FD3"/>
    <w:rsid w:val="00DA6E83"/>
    <w:rsid w:val="00DA6FD7"/>
    <w:rsid w:val="00DA7207"/>
    <w:rsid w:val="00DA739C"/>
    <w:rsid w:val="00DA7682"/>
    <w:rsid w:val="00DA77E6"/>
    <w:rsid w:val="00DA7953"/>
    <w:rsid w:val="00DA7BE2"/>
    <w:rsid w:val="00DB0324"/>
    <w:rsid w:val="00DB0BD7"/>
    <w:rsid w:val="00DB147E"/>
    <w:rsid w:val="00DB2B35"/>
    <w:rsid w:val="00DB2ECB"/>
    <w:rsid w:val="00DB3110"/>
    <w:rsid w:val="00DB38BC"/>
    <w:rsid w:val="00DB3B18"/>
    <w:rsid w:val="00DB50CB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B6"/>
    <w:rsid w:val="00DE31DE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794"/>
    <w:rsid w:val="00E15B3D"/>
    <w:rsid w:val="00E16051"/>
    <w:rsid w:val="00E1669E"/>
    <w:rsid w:val="00E16F92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E2E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3F62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21CC"/>
    <w:rsid w:val="00E924B7"/>
    <w:rsid w:val="00E93902"/>
    <w:rsid w:val="00E93B2E"/>
    <w:rsid w:val="00E94200"/>
    <w:rsid w:val="00E95004"/>
    <w:rsid w:val="00E9518E"/>
    <w:rsid w:val="00E95D23"/>
    <w:rsid w:val="00E95DFC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46B"/>
    <w:rsid w:val="00F0113A"/>
    <w:rsid w:val="00F012DF"/>
    <w:rsid w:val="00F013D2"/>
    <w:rsid w:val="00F01A04"/>
    <w:rsid w:val="00F01AFC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A54"/>
    <w:rsid w:val="00F14DA4"/>
    <w:rsid w:val="00F15A61"/>
    <w:rsid w:val="00F161D7"/>
    <w:rsid w:val="00F16526"/>
    <w:rsid w:val="00F166FD"/>
    <w:rsid w:val="00F16737"/>
    <w:rsid w:val="00F16A04"/>
    <w:rsid w:val="00F16A8B"/>
    <w:rsid w:val="00F16FCB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46"/>
    <w:rsid w:val="00F43E5E"/>
    <w:rsid w:val="00F43E87"/>
    <w:rsid w:val="00F43E8E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709E"/>
    <w:rsid w:val="00F575F3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0A8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4E1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38A"/>
    <w:rsid w:val="00FD74EE"/>
    <w:rsid w:val="00FD77F6"/>
    <w:rsid w:val="00FE0AF0"/>
    <w:rsid w:val="00FE0C5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41CD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a.ac.uk/media/Media_176371_smxx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4849f2-c37c-422c-bbb2-52f60bb268b2">
      <UserInfo>
        <DisplayName>Elspeth Elliott</DisplayName>
        <AccountId>35</AccountId>
        <AccountType/>
      </UserInfo>
      <UserInfo>
        <DisplayName>David Duncan</DisplayName>
        <AccountId>26</AccountId>
        <AccountType/>
      </UserInfo>
      <UserInfo>
        <DisplayName>Mary Ramsay</DisplayName>
        <AccountId>67</AccountId>
        <AccountType/>
      </UserInfo>
      <UserInfo>
        <DisplayName>Sharon McGregor</DisplayName>
        <AccountId>49</AccountId>
        <AccountType/>
      </UserInfo>
      <UserInfo>
        <DisplayName>Billy Howie</DisplayName>
        <AccountId>58</AccountId>
        <AccountType/>
      </UserInfo>
      <UserInfo>
        <DisplayName>Tony Corrigan</DisplayName>
        <AccountId>83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31416-B485-4E09-AE02-8FFA5330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customXml/itemProps5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 Change Governance Group Terms of Reference</vt:lpstr>
    </vt:vector>
  </TitlesOfParts>
  <Manager/>
  <Company>University of Glasgow</Company>
  <LinksUpToDate>false</LinksUpToDate>
  <CharactersWithSpaces>3923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Change Governance Group Terms of Reference</dc:title>
  <dc:subject>Terms of Reference</dc:subject>
  <dc:creator>Craig.Chapman-Smith@glasgow.ac.uk</dc:creator>
  <cp:keywords/>
  <dc:description/>
  <cp:lastModifiedBy>Craig Chapman-Smith</cp:lastModifiedBy>
  <cp:revision>48</cp:revision>
  <cp:lastPrinted>2019-05-11T23:54:00Z</cp:lastPrinted>
  <dcterms:created xsi:type="dcterms:W3CDTF">2021-06-29T09:17:00Z</dcterms:created>
  <dcterms:modified xsi:type="dcterms:W3CDTF">2021-08-09T15:04:00Z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