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4082"/>
        <w:gridCol w:w="3279"/>
        <w:gridCol w:w="4660"/>
      </w:tblGrid>
      <w:tr w:rsidR="00292893" w:rsidRPr="00BD0CB4" w:rsidTr="00094040">
        <w:trPr>
          <w:trHeight w:val="417"/>
        </w:trPr>
        <w:tc>
          <w:tcPr>
            <w:tcW w:w="98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292893" w:rsidRPr="00BD0CB4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Management Unit: </w:t>
            </w:r>
          </w:p>
        </w:tc>
        <w:tc>
          <w:tcPr>
            <w:tcW w:w="1363" w:type="pct"/>
            <w:tcBorders>
              <w:top w:val="single" w:sz="12" w:space="0" w:color="auto"/>
            </w:tcBorders>
          </w:tcPr>
          <w:p w:rsidR="00292893" w:rsidRPr="00BD0CB4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D9D9D9"/>
          </w:tcPr>
          <w:p w:rsidR="00292893" w:rsidRPr="00BD0CB4" w:rsidRDefault="00292893" w:rsidP="00A119AA">
            <w:pPr>
              <w:spacing w:before="120" w:after="120"/>
              <w:ind w:right="-4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top w:val="single" w:sz="12" w:space="0" w:color="auto"/>
              <w:right w:val="single" w:sz="12" w:space="0" w:color="auto"/>
            </w:tcBorders>
          </w:tcPr>
          <w:p w:rsidR="00292893" w:rsidRPr="00BD0CB4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92893" w:rsidRPr="007612A3" w:rsidTr="00094040">
        <w:tc>
          <w:tcPr>
            <w:tcW w:w="986" w:type="pct"/>
            <w:tcBorders>
              <w:left w:val="single" w:sz="12" w:space="0" w:color="auto"/>
            </w:tcBorders>
            <w:shd w:val="clear" w:color="auto" w:fill="D9D9D9"/>
          </w:tcPr>
          <w:p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:rsidR="00292893" w:rsidRPr="00850090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D9D9D9"/>
          </w:tcPr>
          <w:p w:rsidR="00292893" w:rsidRPr="00850090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:rsidR="00292893" w:rsidRPr="007612A3" w:rsidRDefault="00292893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292893" w:rsidRPr="007612A3" w:rsidTr="00094040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/>
          </w:tcPr>
          <w:p w:rsidR="00292893" w:rsidRPr="00850090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1363" w:type="pct"/>
          </w:tcPr>
          <w:p w:rsidR="00292893" w:rsidRPr="003E0F63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D9D9D9"/>
          </w:tcPr>
          <w:p w:rsidR="00292893" w:rsidRPr="00850090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Job Title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:rsidR="00292893" w:rsidRPr="007612A3" w:rsidRDefault="00292893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41373" w:rsidRPr="00FC50B9" w:rsidTr="00E16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41373" w:rsidRPr="00FC50B9" w:rsidRDefault="00B41373" w:rsidP="00072C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Task</w:t>
            </w:r>
            <w:r w:rsidR="00072C6B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FC50B9">
              <w:rPr>
                <w:rFonts w:ascii="Arial" w:hAnsi="Arial" w:cs="Arial"/>
                <w:sz w:val="20"/>
                <w:szCs w:val="20"/>
              </w:rPr>
              <w:t>Risk assessment for the activities associated with work in an office environment.</w:t>
            </w:r>
          </w:p>
        </w:tc>
      </w:tr>
    </w:tbl>
    <w:p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709"/>
        <w:gridCol w:w="2126"/>
        <w:gridCol w:w="1134"/>
        <w:gridCol w:w="1134"/>
        <w:gridCol w:w="851"/>
        <w:gridCol w:w="780"/>
      </w:tblGrid>
      <w:tr w:rsidR="008E227C" w:rsidRPr="00F33906" w:rsidTr="009F3105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:rsidR="008E227C" w:rsidRPr="009F3105" w:rsidRDefault="008E227C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 xml:space="preserve">Who </w:t>
            </w:r>
            <w:proofErr w:type="gramStart"/>
            <w:r w:rsidRPr="009F3105">
              <w:rPr>
                <w:rFonts w:ascii="Arial" w:hAnsi="Arial" w:cs="Arial"/>
                <w:b/>
                <w:sz w:val="18"/>
                <w:szCs w:val="20"/>
              </w:rPr>
              <w:t>might be harmed</w:t>
            </w:r>
            <w:proofErr w:type="gramEnd"/>
            <w:r w:rsidRPr="009F3105">
              <w:rPr>
                <w:rFonts w:ascii="Arial" w:hAnsi="Arial" w:cs="Arial"/>
                <w:b/>
                <w:sz w:val="18"/>
                <w:szCs w:val="20"/>
              </w:rPr>
              <w:t>?</w:t>
            </w:r>
          </w:p>
          <w:p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(e.g. Staff, students, visitors)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risks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9F3105" w:rsidRDefault="008E227C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="009F3105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9F3105" w:rsidRDefault="008E227C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E227C" w:rsidRPr="00C37A1D" w:rsidRDefault="008E227C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E227C" w:rsidRPr="00C37A1D" w:rsidRDefault="008E227C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9F3105" w:rsidRPr="009F3105" w:rsidTr="009F3105">
        <w:trPr>
          <w:trHeight w:val="422"/>
          <w:tblHeader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F3105" w:rsidRPr="009F3105" w:rsidRDefault="009F3105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F3105" w:rsidRPr="009F3105" w:rsidRDefault="009F3105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F3105" w:rsidRPr="009F3105" w:rsidRDefault="009F3105" w:rsidP="00B85F1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105" w:rsidRPr="009F3105" w:rsidRDefault="009F3105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9F3105" w:rsidRPr="00FC50B9" w:rsidTr="009F3105">
        <w:trPr>
          <w:trHeight w:val="191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Slips, trips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A47CA1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Could suffer injury e.g. sprains and fractures if they trip and fall as a result of:</w:t>
            </w:r>
          </w:p>
          <w:p w:rsidR="008E227C" w:rsidRDefault="008E227C" w:rsidP="00A47CA1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227C" w:rsidRDefault="008E227C" w:rsidP="00DA103F">
            <w:pPr>
              <w:pStyle w:val="ListParagraph"/>
              <w:numPr>
                <w:ilvl w:val="0"/>
                <w:numId w:val="26"/>
              </w:numPr>
              <w:spacing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03F">
              <w:rPr>
                <w:rFonts w:ascii="Arial" w:hAnsi="Arial" w:cs="Arial"/>
                <w:sz w:val="20"/>
                <w:szCs w:val="20"/>
                <w:lang w:val="en-US"/>
              </w:rPr>
              <w:t>Obstructions, trailing cables, spillages, worn or raised floor coverings etc on walkways.</w:t>
            </w:r>
          </w:p>
          <w:p w:rsidR="008E227C" w:rsidRPr="00DA103F" w:rsidRDefault="008E227C" w:rsidP="007100A8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227C" w:rsidRPr="00DA103F" w:rsidRDefault="008E227C" w:rsidP="00DA103F">
            <w:pPr>
              <w:pStyle w:val="ListParagraph"/>
              <w:numPr>
                <w:ilvl w:val="0"/>
                <w:numId w:val="26"/>
              </w:num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A103F">
              <w:rPr>
                <w:rFonts w:ascii="Arial" w:hAnsi="Arial" w:cs="Arial"/>
                <w:sz w:val="20"/>
                <w:szCs w:val="20"/>
                <w:lang w:val="en-US"/>
              </w:rPr>
              <w:t>Poor office layout and storage arrangements resulting in insufficient circulation space.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Work areas should be kept clear of obstructions. </w:t>
            </w:r>
          </w:p>
          <w:p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Any spillages should be cleaned up immediately. </w:t>
            </w:r>
          </w:p>
          <w:p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All areas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should be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well lit, especially stairs.</w:t>
            </w:r>
          </w:p>
          <w:p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Any hazards such as torn carpets, trailing cables, defects to floor coverings, faulty lighting etc. should be reported immediately to the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line manager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or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local person responsible for safety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315604" w:rsidRDefault="008E227C" w:rsidP="00264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A47CA1" w:rsidRDefault="008E227C" w:rsidP="00A47CA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7CA1">
              <w:rPr>
                <w:rFonts w:ascii="Arial" w:hAnsi="Arial" w:cs="Arial"/>
                <w:sz w:val="20"/>
                <w:szCs w:val="20"/>
                <w:lang w:val="en-US"/>
              </w:rPr>
              <w:t xml:space="preserve">Could suffer from back pain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 work related upper body disorder (WRULD) due to: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Using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incorrect handling techniques when handling office items (deliveries, boxes, filing etc).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Poor workstation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layout and insufficient working space resulting in poor posture.</w:t>
            </w:r>
          </w:p>
          <w:p w:rsidR="008E227C" w:rsidRPr="00A47CA1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Individuals with health conditions, previous back injuries etc affecting ability to safely handle items 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New and expectant mothers may be more susceptible to injury.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E66F9D" w:rsidRDefault="008E227C" w:rsidP="00E66F9D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>A risk assessment must be completed for lifting heavy and bulky loads that present a risk of injury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e.g.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stretching, stooping, </w:t>
            </w:r>
            <w:proofErr w:type="gramStart"/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twisting</w:t>
            </w:r>
            <w:proofErr w:type="gramEnd"/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. </w:t>
            </w:r>
          </w:p>
          <w:p w:rsidR="008E227C" w:rsidRPr="00E66F9D" w:rsidRDefault="008E227C" w:rsidP="00E66F9D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 trolley should be used to transport boxes of paper or other heavy items. </w:t>
            </w:r>
          </w:p>
          <w:p w:rsidR="008E227C" w:rsidRPr="00E66F9D" w:rsidRDefault="008E227C" w:rsidP="00E66F9D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Using low shelves for storing heavy items and only using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>h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igh shelves for light items only. </w:t>
            </w:r>
          </w:p>
          <w:p w:rsidR="008E227C" w:rsidRPr="00E66F9D" w:rsidRDefault="008E227C" w:rsidP="00A47CA1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Training in lifting techniques should be provided for anyone who undertakes lifting of heavy loads.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A47CA1" w:rsidRDefault="008E227C" w:rsidP="00A47C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WRULD could develop as a result of 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Inappropriate layout or lack of awareness result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in poor posture being adopted when using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Display Screen Equipment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DSE)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Working for prolonged periods without change of posture or sufficient break.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227C" w:rsidRPr="00E66F9D" w:rsidRDefault="008E227C" w:rsidP="00E66F9D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Where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desktops,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laptops and notebooks are used as a significant part of day-to-day work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,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Computer Equipment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assessment must be carried out. </w:t>
            </w:r>
          </w:p>
          <w:p w:rsidR="008E227C" w:rsidRPr="00E66F9D" w:rsidRDefault="008E227C" w:rsidP="00E66F9D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Work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should be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planned to include regular breaks from the computer.</w:t>
            </w:r>
          </w:p>
          <w:p w:rsidR="008E227C" w:rsidRDefault="008E227C" w:rsidP="007100A8">
            <w:pPr>
              <w:numPr>
                <w:ilvl w:val="0"/>
                <w:numId w:val="10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HSE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leaflet “Are you keying safely”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may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be issued to DSE users.</w:t>
            </w:r>
          </w:p>
          <w:p w:rsidR="008E227C" w:rsidRPr="00E66F9D" w:rsidRDefault="008E227C" w:rsidP="007100A8">
            <w:pPr>
              <w:numPr>
                <w:ilvl w:val="0"/>
                <w:numId w:val="10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If software proficiency is required, IT services offers training on general office applications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7C" w:rsidRDefault="008E227C" w:rsidP="00C445F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Could suffer electrical shock or burns if u</w:t>
            </w:r>
            <w:r w:rsidRPr="00A47CA1">
              <w:rPr>
                <w:rFonts w:ascii="Arial" w:hAnsi="Arial" w:cs="Arial"/>
                <w:sz w:val="20"/>
                <w:szCs w:val="20"/>
                <w:lang w:val="en-US"/>
              </w:rPr>
              <w:t xml:space="preserve">sing </w:t>
            </w:r>
          </w:p>
          <w:p w:rsidR="008E227C" w:rsidRDefault="008E227C" w:rsidP="00B74B84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C445F2">
              <w:rPr>
                <w:rFonts w:ascii="Arial" w:hAnsi="Arial" w:cs="Arial"/>
                <w:sz w:val="20"/>
                <w:szCs w:val="20"/>
                <w:lang w:val="en-US"/>
              </w:rPr>
              <w:t xml:space="preserve">amaged portable electrical appliances,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their cables, plugs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e.g. lamps, fans, photocopier, extension leads, PC etc.</w:t>
            </w:r>
          </w:p>
          <w:p w:rsidR="008E227C" w:rsidRPr="00C445F2" w:rsidRDefault="008E227C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E227C" w:rsidRDefault="008E227C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All portable electrical equipment must be tested for electrical safety at correct intervals and labelled with the date of the test. </w:t>
            </w:r>
          </w:p>
          <w:p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cables and plugs </w:t>
            </w: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should be regularly visually inspected by the user for damage. </w:t>
            </w:r>
          </w:p>
          <w:p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 xml:space="preserve">Any defective equipment should be reported immediately to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responsible person e.g. line manager or local safety coordinator</w:t>
            </w: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 xml:space="preserve">, then suitably labelled and taken out of use until the repair has been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carried out</w:t>
            </w: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>Electrical equipment must always be operated in accordance with manufacturers' instructions.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110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lastRenderedPageBreak/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C445F2" w:rsidRDefault="008E227C" w:rsidP="00C445F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Could suffer from smoke inhalation or burns if trapped in office.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Combustible materials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coming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contact with or in close proximity to heat sources.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Portable heaters in unsafe condition and/or inappropriately located.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Over accumulation of rubbish.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Over loading of electrical sockets.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Inappropriate action in the event of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discovering a fire or hearing the fire alarm.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lastRenderedPageBreak/>
              <w:t xml:space="preserve">The storage of empty cardboard boxes should be kept to an absolute minimum. </w:t>
            </w:r>
          </w:p>
          <w:p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Equipment should be switched off when not in use for long periods.</w:t>
            </w:r>
          </w:p>
          <w:p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All portable electrical equipment must be tested for electrical safety at appropriate intervals.</w:t>
            </w:r>
          </w:p>
          <w:p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The fire alarm system is installed, maintained and tested.</w:t>
            </w:r>
          </w:p>
          <w:p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 xml:space="preserve">Fire risk assessments for each building should be carried out </w:t>
            </w:r>
            <w:r>
              <w:rPr>
                <w:rFonts w:ascii="Arial" w:hAnsi="Arial" w:cs="Arial"/>
                <w:sz w:val="20"/>
                <w:szCs w:val="20"/>
              </w:rPr>
              <w:t>periodic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ally. </w:t>
            </w:r>
          </w:p>
          <w:p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 xml:space="preserve">Everyone must be </w:t>
            </w:r>
            <w:r>
              <w:rPr>
                <w:rFonts w:ascii="Arial" w:hAnsi="Arial" w:cs="Arial"/>
                <w:sz w:val="20"/>
                <w:szCs w:val="20"/>
              </w:rPr>
              <w:t xml:space="preserve">acquainted with the Emergency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evacuation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rocedure for their area. </w:t>
            </w:r>
          </w:p>
          <w:p w:rsidR="008E227C" w:rsidRPr="00FC50B9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Fire Officers and depute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 must be appointed to cover offices and general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233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lastRenderedPageBreak/>
              <w:t>Lone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working and </w:t>
            </w:r>
          </w:p>
          <w:p w:rsidR="008E227C" w:rsidRPr="00FC50B9" w:rsidRDefault="008E227C" w:rsidP="00237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 of Hours work (LOOH)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B74B8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9524F">
              <w:rPr>
                <w:rFonts w:ascii="Arial" w:hAnsi="Arial" w:cs="Arial"/>
                <w:sz w:val="20"/>
                <w:szCs w:val="20"/>
                <w:lang w:val="en-US"/>
              </w:rPr>
              <w:t>Staff unable to promptly summon emergency assistance in the event of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serious injury, sudden illness or personal threat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631FBE" w:rsidRDefault="008E227C" w:rsidP="00B74B84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LOOH work should be minimised or avoided where feasible. </w:t>
            </w:r>
          </w:p>
          <w:p w:rsidR="008E227C" w:rsidRPr="0074288A" w:rsidRDefault="008E227C" w:rsidP="00B74B84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288A">
              <w:rPr>
                <w:rFonts w:ascii="Arial" w:hAnsi="Arial" w:cs="Arial"/>
                <w:sz w:val="20"/>
                <w:szCs w:val="20"/>
              </w:rPr>
              <w:t xml:space="preserve">If unavoidable, conduct a generic LOOH Risk Assessment </w:t>
            </w:r>
          </w:p>
          <w:p w:rsidR="008E227C" w:rsidRPr="00B74B84" w:rsidRDefault="008E227C" w:rsidP="00B74B84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288A">
              <w:rPr>
                <w:rFonts w:ascii="Arial" w:hAnsi="Arial" w:cs="Arial"/>
                <w:sz w:val="20"/>
                <w:szCs w:val="20"/>
              </w:rPr>
              <w:t>Specific LOOH Risk Assessment may be required in circumstances where any potential risks are increased (e.g. expectant mothers, persons with mobility issues or medical conditions).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0A3FFA" w:rsidRDefault="008E227C" w:rsidP="00B74B8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Falling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retrieving items stored at height</w:t>
            </w:r>
          </w:p>
          <w:p w:rsidR="008E227C" w:rsidRPr="000A3FFA" w:rsidRDefault="008E227C" w:rsidP="00B74B8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Dropping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items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onto others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stored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at height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E66F9D" w:rsidRDefault="008E227C" w:rsidP="00E66F9D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 xml:space="preserve">Chairs or desks must not be used for reaching heights; step stools should be used instead. </w:t>
            </w:r>
          </w:p>
          <w:p w:rsidR="008E227C" w:rsidRDefault="008E227C" w:rsidP="00E66F9D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If a stepladder is used, staff/students should read an appropriate risk assessment and be shown how to use it safely.</w:t>
            </w:r>
          </w:p>
          <w:p w:rsidR="008E227C" w:rsidRPr="000A3FFA" w:rsidRDefault="008E227C" w:rsidP="001475AB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>To prevent injuries heavy items must not be stored on upper shelves. They should be stored at waist height.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FC50B9" w:rsidRDefault="008E227C" w:rsidP="00867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343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0A3FFA" w:rsidRDefault="008E227C" w:rsidP="000A3FFA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May feel too hot/cold or suffer other general discomfort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Contact with furniture if insufficient space to move around.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May suffer eyestrain if lighting is insufficient or of the wrong type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temperature of the office normally kept within a comfortable range?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office adequately ventilated?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space provided is sufficient to enable free movement around the office, and for carrying out general tasks?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the lighting levels adequate for the tasks undertaken?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window blinds fitted where necessary to adjust lighting levels?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desk lamps provided if additional task lighting is required?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1461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 w:rsidP="00477C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Inadequate h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ygiene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welfare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facilities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E53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sz w:val="20"/>
                <w:szCs w:val="20"/>
              </w:rPr>
              <w:t>General discomfort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stress.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Pr="000A3FFA" w:rsidRDefault="008E227C" w:rsidP="000A3FFA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toilets supplied with hot/cold water, soap and towels, and deficiencies reported to the cleaning staff?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an area available for refreshment with drinking water available?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‘No smoking’ policy implemented?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12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Chemical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B74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Generally the risk will be very low within an office environment.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74B8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If any hazardous substances e.g. solvents or solvent-based glues are used within the office area </w:t>
            </w:r>
            <w:r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631FBE">
              <w:rPr>
                <w:rFonts w:ascii="Arial" w:hAnsi="Arial" w:cs="Arial"/>
                <w:sz w:val="20"/>
                <w:szCs w:val="20"/>
              </w:rPr>
              <w:t>a COSHH risk assessment must be completed and a safe system of work issued to the users.</w:t>
            </w:r>
          </w:p>
          <w:p w:rsidR="009F3105" w:rsidRPr="00FC50B9" w:rsidRDefault="009F3105" w:rsidP="00B74B8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Pr="00FB1D14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Filling Cabinets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FC50B9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B74B84" w:rsidRDefault="008E227C" w:rsidP="00B74B8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4B84">
              <w:rPr>
                <w:rFonts w:ascii="Arial" w:hAnsi="Arial" w:cs="Arial"/>
                <w:sz w:val="20"/>
                <w:szCs w:val="20"/>
              </w:rPr>
              <w:t>Could topple over if loading is unbalanced.</w:t>
            </w:r>
          </w:p>
          <w:p w:rsidR="008E227C" w:rsidRPr="00B74B84" w:rsidRDefault="008E227C" w:rsidP="00B74B8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4B84">
              <w:rPr>
                <w:rFonts w:ascii="Arial" w:hAnsi="Arial" w:cs="Arial"/>
                <w:sz w:val="20"/>
                <w:szCs w:val="20"/>
              </w:rPr>
              <w:t>Cabinet drawers that have been left open could be a trip hazard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631FBE" w:rsidRDefault="008E227C" w:rsidP="00B74B84">
            <w:pPr>
              <w:numPr>
                <w:ilvl w:val="0"/>
                <w:numId w:val="14"/>
              </w:numPr>
              <w:spacing w:after="6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Filing cabinets should be loaded from the bottom up to maintain stability. </w:t>
            </w:r>
          </w:p>
          <w:p w:rsidR="008E227C" w:rsidRPr="00631FBE" w:rsidRDefault="008E227C" w:rsidP="00B74B84">
            <w:pPr>
              <w:numPr>
                <w:ilvl w:val="0"/>
                <w:numId w:val="14"/>
              </w:numPr>
              <w:spacing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Where filing cabinets are of the type that allows more than one drawer to be opened at a time, they must be labelled with a warning of a tipping risk. </w:t>
            </w:r>
          </w:p>
          <w:p w:rsidR="008E227C" w:rsidRPr="00631FBE" w:rsidRDefault="008E227C" w:rsidP="00EE76C1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>Drawers should be closed immediately after use.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12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equipment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24F">
              <w:rPr>
                <w:rFonts w:ascii="Arial" w:hAnsi="Arial" w:cs="Arial"/>
                <w:sz w:val="20"/>
                <w:szCs w:val="20"/>
                <w:lang w:val="en-US"/>
              </w:rPr>
              <w:t>Coming into contact with moving, cutting or other dangerous parts, clothing, long hair etc be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D9524F">
              <w:rPr>
                <w:rFonts w:ascii="Arial" w:hAnsi="Arial" w:cs="Arial"/>
                <w:sz w:val="20"/>
                <w:szCs w:val="20"/>
                <w:lang w:val="en-US"/>
              </w:rPr>
              <w:t>oming entangled.</w:t>
            </w:r>
          </w:p>
          <w:p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e.g. shredders, guillotines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Equipment used in accordance with manufacturer’s instructions</w:t>
            </w:r>
          </w:p>
          <w:p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Those using the equipment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have been made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aware of how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it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safely e.g.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verbal instruction, signage etc.</w:t>
            </w:r>
            <w:bookmarkStart w:id="0" w:name="_GoBack"/>
            <w:bookmarkEnd w:id="0"/>
          </w:p>
          <w:p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Equipment periodically checked for safe condition and taken out of use if any damage found.</w:t>
            </w:r>
          </w:p>
          <w:p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Loose clothing (e.g. ties) and long hair kept away from any moving parts.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88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Workplace Stress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Prolonged periods of excessive demands being place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on and experienced by staff.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Staff having conflicting roles.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Harassment from, or poor relationships with, colleagues, line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managers etc.</w:t>
            </w:r>
          </w:p>
          <w:p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Staff receiving little or no support to enable them to effectively carry out their work.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EE76C1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Line managers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are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aware of their roles and responsibilities under the University’s management of work-related stress policy and carry these out.</w:t>
            </w:r>
          </w:p>
          <w:p w:rsidR="008E227C" w:rsidRPr="00EE76C1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Discussions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 with staff and assessments carried out to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establish any factors causing, or the potential to cause work-related stress, and measures to address these.</w:t>
            </w:r>
          </w:p>
          <w:p w:rsidR="008E227C" w:rsidRPr="00C445F2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Staff aware of their roles and responsibilities in relation to work-related stress through information and training.</w:t>
            </w:r>
          </w:p>
          <w:p w:rsidR="008E227C" w:rsidRPr="00EE76C1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Staff are made aware that they can refer themselves to Occupational Health should they require professional support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:rsidTr="009F3105">
        <w:trPr>
          <w:trHeight w:val="242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Any other hazards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identified?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Pr="00D9524F" w:rsidRDefault="008E227C" w:rsidP="00D9524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E227C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E227C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E227C" w:rsidRPr="00631FBE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FD9" w:rsidRDefault="00231FD9" w:rsidP="00231FD9">
      <w:pPr>
        <w:rPr>
          <w:rFonts w:ascii="Arial" w:hAnsi="Arial" w:cs="Arial"/>
          <w:sz w:val="20"/>
          <w:szCs w:val="20"/>
        </w:rPr>
      </w:pPr>
    </w:p>
    <w:p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12"/>
        <w:gridCol w:w="3259"/>
        <w:gridCol w:w="3122"/>
        <w:gridCol w:w="4240"/>
      </w:tblGrid>
      <w:tr w:rsidR="008245E4" w:rsidRPr="00E622B6" w:rsidTr="008245E4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 Magnet</w:t>
            </w:r>
          </w:p>
        </w:tc>
      </w:tr>
      <w:tr w:rsidR="008245E4" w:rsidRPr="00E622B6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:rsidR="008245E4" w:rsidRDefault="008245E4" w:rsidP="00231FD9">
      <w:pPr>
        <w:rPr>
          <w:rFonts w:ascii="Arial" w:hAnsi="Arial" w:cs="Arial"/>
          <w:sz w:val="20"/>
          <w:szCs w:val="20"/>
        </w:rPr>
      </w:pPr>
    </w:p>
    <w:p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3020"/>
        <w:gridCol w:w="3513"/>
        <w:gridCol w:w="3189"/>
        <w:gridCol w:w="3459"/>
      </w:tblGrid>
      <w:tr w:rsidR="00292E09" w:rsidRPr="00D4160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:rsidTr="008245E4">
        <w:tc>
          <w:tcPr>
            <w:tcW w:w="408" w:type="pct"/>
            <w:tcBorders>
              <w:right w:val="nil"/>
            </w:tcBorders>
          </w:tcPr>
          <w:p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>hazard can result in serious injury and/or illness, over 3 day absence)</w:t>
            </w:r>
          </w:p>
        </w:tc>
        <w:tc>
          <w:tcPr>
            <w:tcW w:w="1205" w:type="pct"/>
            <w:shd w:val="clear" w:color="auto" w:fill="E6E6E6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:rsidTr="008245E4">
        <w:tc>
          <w:tcPr>
            <w:tcW w:w="408" w:type="pct"/>
            <w:vMerge w:val="restart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:rsidTr="008245E4">
        <w:tc>
          <w:tcPr>
            <w:tcW w:w="408" w:type="pct"/>
            <w:vMerge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:rsidTr="008245E4">
        <w:trPr>
          <w:trHeight w:val="51"/>
        </w:trPr>
        <w:tc>
          <w:tcPr>
            <w:tcW w:w="408" w:type="pct"/>
            <w:vMerge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>This is calculated by multiplying the likelihood against the consequence e.g.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3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7C" w:rsidRDefault="008E227C" w:rsidP="00B41373">
      <w:r>
        <w:separator/>
      </w:r>
    </w:p>
  </w:endnote>
  <w:endnote w:type="continuationSeparator" w:id="0">
    <w:p w:rsidR="008E227C" w:rsidRDefault="008E227C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7C" w:rsidRDefault="008E227C" w:rsidP="00B41373">
      <w:r>
        <w:separator/>
      </w:r>
    </w:p>
  </w:footnote>
  <w:footnote w:type="continuationSeparator" w:id="0">
    <w:p w:rsidR="008E227C" w:rsidRDefault="008E227C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7C" w:rsidRDefault="008E227C" w:rsidP="008245E4">
    <w:pPr>
      <w:rPr>
        <w:rFonts w:ascii="Arial" w:hAnsi="Arial" w:cs="Arial"/>
        <w:sz w:val="20"/>
        <w:szCs w:val="20"/>
      </w:rPr>
    </w:pPr>
  </w:p>
  <w:p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6" w:type="pct"/>
      <w:tblLook w:val="00A0" w:firstRow="1" w:lastRow="0" w:firstColumn="1" w:lastColumn="0" w:noHBand="0" w:noVBand="0"/>
    </w:tblPr>
    <w:tblGrid>
      <w:gridCol w:w="7589"/>
      <w:gridCol w:w="7590"/>
    </w:tblGrid>
    <w:tr w:rsidR="007E3015" w:rsidTr="000A19BD">
      <w:trPr>
        <w:trHeight w:val="1100"/>
      </w:trPr>
      <w:tc>
        <w:tcPr>
          <w:tcW w:w="2500" w:type="pct"/>
        </w:tcPr>
        <w:p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  <w:r>
            <w:rPr>
              <w:rFonts w:cs="Arial"/>
              <w:noProof/>
              <w:lang w:eastAsia="en-GB"/>
            </w:rPr>
            <w:drawing>
              <wp:inline distT="0" distB="0" distL="0" distR="0" wp14:anchorId="28A4F9ED" wp14:editId="5C14D0B0">
                <wp:extent cx="2162175" cy="657225"/>
                <wp:effectExtent l="1905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Office Risk Assessment</w:t>
          </w:r>
        </w:p>
        <w:p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2"/>
  </w:num>
  <w:num w:numId="5">
    <w:abstractNumId w:val="11"/>
  </w:num>
  <w:num w:numId="6">
    <w:abstractNumId w:val="17"/>
  </w:num>
  <w:num w:numId="7">
    <w:abstractNumId w:val="21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7"/>
  </w:num>
  <w:num w:numId="14">
    <w:abstractNumId w:val="9"/>
  </w:num>
  <w:num w:numId="15">
    <w:abstractNumId w:val="24"/>
  </w:num>
  <w:num w:numId="16">
    <w:abstractNumId w:val="19"/>
  </w:num>
  <w:num w:numId="17">
    <w:abstractNumId w:val="1"/>
  </w:num>
  <w:num w:numId="18">
    <w:abstractNumId w:val="25"/>
  </w:num>
  <w:num w:numId="19">
    <w:abstractNumId w:val="10"/>
  </w:num>
  <w:num w:numId="20">
    <w:abstractNumId w:val="5"/>
  </w:num>
  <w:num w:numId="21">
    <w:abstractNumId w:val="2"/>
  </w:num>
  <w:num w:numId="22">
    <w:abstractNumId w:val="26"/>
  </w:num>
  <w:num w:numId="23">
    <w:abstractNumId w:val="28"/>
  </w:num>
  <w:num w:numId="24">
    <w:abstractNumId w:val="20"/>
  </w:num>
  <w:num w:numId="25">
    <w:abstractNumId w:val="0"/>
  </w:num>
  <w:num w:numId="26">
    <w:abstractNumId w:val="23"/>
  </w:num>
  <w:num w:numId="27">
    <w:abstractNumId w:val="18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6F"/>
    <w:rsid w:val="0001414B"/>
    <w:rsid w:val="00072C6B"/>
    <w:rsid w:val="00077CEF"/>
    <w:rsid w:val="00094040"/>
    <w:rsid w:val="000A3FFA"/>
    <w:rsid w:val="000A438E"/>
    <w:rsid w:val="000C3EC6"/>
    <w:rsid w:val="00112A3C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B1002"/>
    <w:rsid w:val="001B6CE5"/>
    <w:rsid w:val="001E3014"/>
    <w:rsid w:val="001E7181"/>
    <w:rsid w:val="001F21AF"/>
    <w:rsid w:val="00231FD9"/>
    <w:rsid w:val="002370C8"/>
    <w:rsid w:val="00247429"/>
    <w:rsid w:val="002644F6"/>
    <w:rsid w:val="00292893"/>
    <w:rsid w:val="00292E09"/>
    <w:rsid w:val="002A056F"/>
    <w:rsid w:val="002B2C50"/>
    <w:rsid w:val="002C439F"/>
    <w:rsid w:val="002C4A87"/>
    <w:rsid w:val="002D376C"/>
    <w:rsid w:val="0034041D"/>
    <w:rsid w:val="00380A86"/>
    <w:rsid w:val="003D0A24"/>
    <w:rsid w:val="003E0F63"/>
    <w:rsid w:val="003E6AE0"/>
    <w:rsid w:val="00477C75"/>
    <w:rsid w:val="00484FC3"/>
    <w:rsid w:val="004A1764"/>
    <w:rsid w:val="004F78AC"/>
    <w:rsid w:val="00503C63"/>
    <w:rsid w:val="00542710"/>
    <w:rsid w:val="00546A39"/>
    <w:rsid w:val="005560D7"/>
    <w:rsid w:val="005C2F9E"/>
    <w:rsid w:val="005D0DD0"/>
    <w:rsid w:val="00631FBE"/>
    <w:rsid w:val="00690DD4"/>
    <w:rsid w:val="007100A8"/>
    <w:rsid w:val="0074288A"/>
    <w:rsid w:val="00752E1D"/>
    <w:rsid w:val="00764109"/>
    <w:rsid w:val="007816B0"/>
    <w:rsid w:val="0078715B"/>
    <w:rsid w:val="00794500"/>
    <w:rsid w:val="007B1C00"/>
    <w:rsid w:val="007C3646"/>
    <w:rsid w:val="007D18D4"/>
    <w:rsid w:val="007D1AEE"/>
    <w:rsid w:val="007E3015"/>
    <w:rsid w:val="007F3C79"/>
    <w:rsid w:val="00820DF4"/>
    <w:rsid w:val="008245E4"/>
    <w:rsid w:val="00835BAC"/>
    <w:rsid w:val="008638F5"/>
    <w:rsid w:val="00867347"/>
    <w:rsid w:val="008B3254"/>
    <w:rsid w:val="008E227C"/>
    <w:rsid w:val="00901014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119AA"/>
    <w:rsid w:val="00A3626D"/>
    <w:rsid w:val="00A47CA1"/>
    <w:rsid w:val="00A57646"/>
    <w:rsid w:val="00A9532C"/>
    <w:rsid w:val="00AA682B"/>
    <w:rsid w:val="00AE7BFA"/>
    <w:rsid w:val="00AF4EAB"/>
    <w:rsid w:val="00B10323"/>
    <w:rsid w:val="00B10683"/>
    <w:rsid w:val="00B2493A"/>
    <w:rsid w:val="00B41373"/>
    <w:rsid w:val="00B55261"/>
    <w:rsid w:val="00B74B84"/>
    <w:rsid w:val="00B85F1D"/>
    <w:rsid w:val="00B94072"/>
    <w:rsid w:val="00BD639A"/>
    <w:rsid w:val="00BD6830"/>
    <w:rsid w:val="00BE1F88"/>
    <w:rsid w:val="00BF0EED"/>
    <w:rsid w:val="00C37A1D"/>
    <w:rsid w:val="00C445F2"/>
    <w:rsid w:val="00CB126D"/>
    <w:rsid w:val="00CB6F62"/>
    <w:rsid w:val="00CC6793"/>
    <w:rsid w:val="00CD2A34"/>
    <w:rsid w:val="00D1534D"/>
    <w:rsid w:val="00D224FE"/>
    <w:rsid w:val="00D41607"/>
    <w:rsid w:val="00D64F1B"/>
    <w:rsid w:val="00D81C74"/>
    <w:rsid w:val="00D9524F"/>
    <w:rsid w:val="00DA103F"/>
    <w:rsid w:val="00DB1F38"/>
    <w:rsid w:val="00E0568F"/>
    <w:rsid w:val="00E16BFB"/>
    <w:rsid w:val="00E233B3"/>
    <w:rsid w:val="00E24B20"/>
    <w:rsid w:val="00E30F15"/>
    <w:rsid w:val="00E527FF"/>
    <w:rsid w:val="00E52ACD"/>
    <w:rsid w:val="00E53D6E"/>
    <w:rsid w:val="00E66F9D"/>
    <w:rsid w:val="00E70BD4"/>
    <w:rsid w:val="00E71CB7"/>
    <w:rsid w:val="00ED2763"/>
    <w:rsid w:val="00EE76C1"/>
    <w:rsid w:val="00EE7D78"/>
    <w:rsid w:val="00EF4AB1"/>
    <w:rsid w:val="00EF6C4B"/>
    <w:rsid w:val="00F00F02"/>
    <w:rsid w:val="00F33906"/>
    <w:rsid w:val="00F90122"/>
    <w:rsid w:val="00FB1D14"/>
    <w:rsid w:val="00FB2B23"/>
    <w:rsid w:val="00FC1255"/>
    <w:rsid w:val="00FC50B9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8</Pages>
  <Words>1681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pl66y</cp:lastModifiedBy>
  <cp:revision>19</cp:revision>
  <cp:lastPrinted>2013-11-21T13:43:00Z</cp:lastPrinted>
  <dcterms:created xsi:type="dcterms:W3CDTF">2013-11-08T14:13:00Z</dcterms:created>
  <dcterms:modified xsi:type="dcterms:W3CDTF">2014-07-09T11:58:00Z</dcterms:modified>
</cp:coreProperties>
</file>